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Załącznik Nr 1 do Zarządzenia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Nr </w:t>
      </w:r>
      <w:r w:rsidR="00E764D0">
        <w:rPr>
          <w:rFonts w:cstheme="minorHAnsi"/>
          <w:bCs/>
          <w:sz w:val="20"/>
          <w:szCs w:val="20"/>
        </w:rPr>
        <w:t>101</w:t>
      </w:r>
      <w:r w:rsidR="00CF0E64">
        <w:rPr>
          <w:rFonts w:cstheme="minorHAnsi"/>
          <w:bCs/>
          <w:sz w:val="20"/>
          <w:szCs w:val="20"/>
        </w:rPr>
        <w:t>/2023</w:t>
      </w:r>
      <w:r>
        <w:rPr>
          <w:rFonts w:cstheme="minorHAnsi"/>
          <w:bCs/>
          <w:sz w:val="20"/>
          <w:szCs w:val="20"/>
        </w:rPr>
        <w:t xml:space="preserve"> Wójta Gminy Białe Błota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cstheme="minorHAnsi"/>
          <w:bCs/>
          <w:sz w:val="20"/>
          <w:szCs w:val="20"/>
        </w:rPr>
        <w:t xml:space="preserve">z dnia  </w:t>
      </w:r>
      <w:r w:rsidR="00E764D0">
        <w:rPr>
          <w:rFonts w:cstheme="minorHAnsi"/>
          <w:bCs/>
          <w:sz w:val="20"/>
          <w:szCs w:val="20"/>
        </w:rPr>
        <w:t>24.10.2023 r.</w:t>
      </w:r>
      <w:bookmarkStart w:id="0" w:name="_GoBack"/>
      <w:bookmarkEnd w:id="0"/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Roczny Program współpracy Gminy Białe Błota na 202</w:t>
      </w:r>
      <w:r w:rsidR="001D4DE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rok z organizacjami pozarządowymi oraz podmiotami, o których mowa w art. 3 ust. 3 ustawy z dnia 24 kwietnia 2003 r. o działalności pożytku publicznego i o wolontariacie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ogólne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 1.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Roczny Program współpracy Gminy Białe Błota z organizacjami pozarządowymi oraz podmiotami pożytku publicznego na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 określa ogólne cele, zasady, przedmiot, a także formy współpracy Gminy Białe Błota z organizacjami pozarządowymi oraz innymi podmiotami wymienionymi w art. 3 ust. 3 ustawy o działalności pożytku publicznego i wolontariacie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</w:t>
      </w:r>
      <w:proofErr w:type="spellStart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 Dz. U. z 202</w:t>
      </w:r>
      <w:r w:rsidR="00C75A0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r., poz. </w:t>
      </w:r>
      <w:r w:rsidR="00D1398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571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 późn. zm.)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Program określa priorytetowe zadania publiczne, których realizację Gmina Białe Błota będzie wspierać w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roku. Szczegółowe warunki realizacji zadań priorytetowych zostaną określone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ogłaszanych otwartych konkursach ofert na realizację zadań publicznych.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2.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Ilekroć w niniejszej uchwale jest mowa o: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a)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ustawie -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ustawę z dnia 24 kwietnia 2003 r. o działalności pożytku publicznego i wolontariacie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r., poz. 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571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);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organizacjach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organizacje pozarządowe oraz podmioty, o których mowa w art. 3 ust. 3 ustawy z dnia 24 kwietnia 2003 r. o działalności pożytku publicznego i o wolontariacie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r., poz. 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571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programie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Roczny Program współpracy Gminy Białe Błota z organizacjami pozarządowymi oraz organizacjami pożytku publicznego na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gminie -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Gminę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e)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urzędzie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Urząd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f) 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wójcie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Wójta Gminy Białe Błota.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2.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Cel główny i cele szczegółowe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3.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Głównym celem Programu jest zaspakajanie potrzeb społecznych mieszkańców oraz aktywizacja społeczności lokalnej poprzez efektywne wykorzystanie i wzmacnianie potencjału organizacji działających na terenie Gminy poprzez:</w:t>
      </w:r>
    </w:p>
    <w:p w:rsidR="007C294A" w:rsidRDefault="007C294A" w:rsidP="007C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wzmocnienie stabilności i odpowiedzialności organizacji w zakresie prowadzonych działań;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wzrost świadomości społecznej na temat roli i działalności organizacji.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4.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Celami szczegółowymi podjętej współpracy są w szczególności: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poprawa jakości życia mieszkańców gminy, poprzez pełniejsze zaspokajanie ich potrzeb;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aktywizacja społeczności lokalnej, zwiększanie jej udziału w rozwiązywaniu problemów lokalnych;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uzupełnienie usług świadczonych przez gminę;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promowanie aktywności społecznej i wzmacnianie potencjału organizacji pozarządowych;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otwarcie na innowacyjność i konkurencyjność w wykonaniu zadań publicznych;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efektywne wydatkowanie środków publicznych w zaspokajaniu zbiorowych potrzeb;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7) wzmocnienie stabilności i odpowiedzialności organizacji w zakresie prowadzonych działań;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8) wzrost świadomości społecznej na temat roli i działalności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3.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Zasady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5.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z organizacjami w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prowadzona będzie przy poszanowaniu zasad: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pomocniczości i suwerenności,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polegającej na prawie do samodzielnego definiowania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>i rozwiązywania problemów, respektując odrębność i niezależność każdej ze stron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partnerstwa,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obejmującego współpracę podmiotów w rozwiązywaniu wspólnie zdefiniowanych problemów i osiąganie wytyczonych celów;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efektywności,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mającej na celu wykorzystanie środków publicznych w sposób, który zapewni celowość i oszczędność realizacji zadania przy uzyskaniu najlepszych efektów z poniesionych nakładów;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równości szans,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obejmującej dążenia do określenia i uwzględniania potrzeb grup, którym grozi wykluczenie społeczne oraz ich wzmocnienia i bezpośredniego włączenia w procesy podejmowania decyzji i realizacji działań;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jawności,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która odnosi się do procedur postępowania przy realizacji zadań publicznych przez organizację, sposobu wykorzystania dotacji oraz wykonywania zadań;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4.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Formy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6.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z organizacjami w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prowadzona będzie w formach określonych w art. 5 ust.2 ustawy oraz poprzez: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popularyzację działalności organizacji na stronie internetowej Gminy Białe Błota poprzez umieszczanie na niej informacji o osiągnięciach tych organizacji, prowadzonych lub zakończonych działaniach, pod warunkiem aktualności tych informacji oraz umieszczenia wykazu organizacji wraz z najistotniejszymi danymi; </w:t>
      </w:r>
    </w:p>
    <w:p w:rsidR="007C294A" w:rsidRDefault="007C294A" w:rsidP="007C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współorganizację imprez, spotkań, konferencji i działań o podobnym charakterze.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pl-PL"/>
        </w:rPr>
        <w:t>§ 7.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Współpraca z organizacjami może przybierać formy finansowe i pozafinansowe.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o charakterze finansowym może odbywać się w formach: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powierzenia realizacji zadania publicznego poprzez udzielenie dotacji na sfinansowanie jego realizacji;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wspieranie realizacji zadania publicznego poprzez udzielenie dotacji na dofinansowanie jego realizacji;</w:t>
      </w:r>
    </w:p>
    <w:p w:rsidR="007C294A" w:rsidRDefault="007C294A" w:rsidP="007C294A">
      <w:pPr>
        <w:pStyle w:val="Akapitzlist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wsparcia finansowego na realizację zadań publicznych w pominięciem otwartego konkursu ofert w trybie pozakonkursowym na podstawie art. 19a ustawy, na podstawie oferty własnej organizacji działającej w sferze pożytku publicznego.</w:t>
      </w:r>
    </w:p>
    <w:p w:rsidR="007C294A" w:rsidRDefault="007C294A" w:rsidP="007C294A">
      <w:pPr>
        <w:pStyle w:val="Akapitzlist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Współpraca o charakterze pozafinansowym może odbywać się w 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zakresie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ń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informacyjnych realizowanych poprzez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: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publikowanie na stronie internetowej Gminy ważnych informacji dotyczących zarówno działań podejmowanych przez Gminę, jak i przez organizacje,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przekazywanie przez organizacje informacji o przewidywanych lub realizowanych zadaniach sfery publicznej,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przekazywanie przez organizacje realizujące zadania publiczne informacji o fakcie finansowania lub współfinansowania realizacji zadania przez Gminę. Zakres, zasady oraz sposób informowania szczegółowo określać będą postanowienia zawarte w umowie oraz ogłoszeniu konkursowym.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ń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organizacyjnych, realizowanych poprzez: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 prowadzenie i aktualizowanie bazy danych organizacji na stronie Gminy,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inicjowanie realizacji zadań publicznych,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przez Wójta Gminy patronatów, opinii, itp.,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prowadzenie konsultacji projektów jako wsparcie merytoryczne.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ń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szkoleniowych, realizowanych poprzez: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inicjowanie lub współorganizowanie szkoleń podnoszących jakość pracy organizacji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w sferze zadań publicznych,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angażowanie organizacji do wymiany doświadczeń i prezentacji osiągnięć,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udostępnianie na stronie Gminy „instrukcji” z najważniejszych kwestii dla organizacji pod kątem wnioskowania  o dotacje oraz ich rozliczania,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merytorycznej pomocy dla organizacji zainteresowanych pozyskiwaniem środków finansowych z różnych źródeł.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ń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mając</w:t>
      </w:r>
      <w:r w:rsidR="00D6558D">
        <w:rPr>
          <w:rFonts w:eastAsia="Times New Roman" w:cstheme="minorHAnsi"/>
          <w:color w:val="000000"/>
          <w:shd w:val="clear" w:color="auto" w:fill="FFFFFF"/>
          <w:lang w:eastAsia="pl-PL"/>
        </w:rPr>
        <w:t>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celu pozyskanie środków zewnętrznych: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rekomendacji Wójta organizacjom,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bieżące informowanie o aktualnych naborach oraz programach dających możliwość pozyskania środków spoza budżetu Gminy,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promowanie organizacji pozarządowych w Gminie poprzez zwiększoną liczbę publikacji na stronach internetowych.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5.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Przedmiot współpracy i zadania priorytetowe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8.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Przedmiotem współpracy Gminy z organizacjami jest realizacja zadań publicznych,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o których mowa w art. 4 ust. 1 ustawy.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Zadania priorytetowe Gminy Białe Błota w 202</w:t>
      </w:r>
      <w:r w:rsidR="00D13985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obejmujące współpracę z organizacjami realizowane będą przez zlecanie zadań w następujących obszarach: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pomocy społecznej, w tym pomocy rodzinom i osobom w trudnej sytuacji życiowej oraz wyrównywania szans tych rodzin i osób;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podtrzymywania i upowszechniania tradycji narodowej, pielęgnowania polskości oraz rozwoju świadomości narodowej, obywatelskiej i kulturowej;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działalności na rzecz osób niepełnosprawnych;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wspierania i upowszechniania kultury fizycznej;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przeciwdziałania uzależnieniom i patologiom społecznym;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ekologii i ochrony zwierząt oraz ochrony dziedzictwa przyrodniczego;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działalności na rzecz integracji europejskiej oraz rozwijania kontaktów i współpracy między społeczeństwami;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h) 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kultury, sztuki, ochrony dóbr kultury i dziedzictwa narodowego;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Powierzenie organizacjom wykonania zadań publicznych w innych niż wymienione w ust. 2 obszarach działalności pożytku publicznego, a o których mowa w art. 4 ustawy, wraz z udzieleniem dotacji na ich finansowanie bądź wspieranie takich zadań nastąpić będzie mogło po zabezpieczeniu środków w budżecie gminy oraz na podstawie wniosku organizacji. Nawiązywanie współpracy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nowych obszarach działalności pożytku publicznego winno być poprzedzone umieszczeniem tej informacji w terminie nie dłuższym niż 7 dni, od dnia wpłynięcia wniosku i na okres 7 dni jednocześnie: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Biuletynie Informacji Publicznej;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tablicy ogłoszeń w Urzędzie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stronie internetowej gminy;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umożliwienia organizacjom zgłaszania w tym terminie swoich uwag.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Brak uwag ze strony organizacji w terminie 7 dni od dnia zamieszczenia informacji w sposób,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o którym mowa w § 8 ust. 3, uznaje się za wyrażenie przez nie opinii pozytywnej dla wprowadzenia nowego obszaru działalności.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6.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Wysokość środków przeznaczonych na realizację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9.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Zlecanie przez Gminę realizacji zadań publicznych będzie następowało w formie powierzenia lub wspierania wykonania tych zadań wraz z udzieleniem dotacji na ich sfinansowanie bądź dofinansowanie, w ramach środków przeznaczonych na realizację programu, których wysokość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zaplanowana</w:t>
      </w:r>
      <w:r>
        <w:rPr>
          <w:rFonts w:eastAsia="Times New Roman" w:cstheme="minorHAnsi"/>
          <w:color w:val="FF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została w budżecie Gminy Białe Błota na rok 202</w:t>
      </w:r>
      <w:r w:rsidR="00CF0E64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wysokości </w:t>
      </w:r>
      <w:r w:rsidRPr="00F64B0A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>5</w:t>
      </w:r>
      <w:r w:rsidR="00D13985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>17</w:t>
      </w:r>
      <w:r w:rsidRPr="00F64B0A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>.</w:t>
      </w:r>
      <w:r w:rsidR="00D13985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>620</w:t>
      </w:r>
      <w:r w:rsidRPr="00F64B0A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 xml:space="preserve">,00 </w:t>
      </w:r>
      <w:r w:rsidRPr="00F64B0A">
        <w:rPr>
          <w:rFonts w:eastAsia="Times New Roman" w:cstheme="minorHAnsi"/>
          <w:b/>
          <w:color w:val="000000"/>
          <w:shd w:val="clear" w:color="auto" w:fill="FFFFFF"/>
          <w:lang w:eastAsia="pl-PL"/>
        </w:rPr>
        <w:t>złotych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7.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realizacji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10.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Podmiotami uczestniczącymi we współpracy są: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uchwalająca program, jako organ stanowiący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Gminy – realizujący program, jako organ wykonawczy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Organizacje prowadzące działalność pożytku publicznego w zakresie odpowiadającym działaniom gminy.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realizuje program przy pomocy: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pracowników Urzędu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gminnych jednostek organizacyjnych, które w obszarach swojej działalności mogą współpracować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z organizacjami pozarządowymi.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Urząd oraz jednostki organizacyjne prowadzą bezpośrednią współpracę z organizacjami, która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szczególności polega na: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przygotowaniu i prowadzeniu konkursów ofert dla organizacji na realizację zadań finansowanych bądź dofinansowywanych ze środków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sporządzaniu sprawozdań z realizacji programu;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podejmowaniu i prowadzeniu bieżącej współpracy z organizacjami;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udziale przedstawicieli w spotkaniach dla przedstawicieli organizacji dotyczących wzajemnej współpracy;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zlecaniu realizacji zadań publicznych programu organizacjom;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organizowaniu wspólnych przedsięwzięć, mających na celu rozwój organizacji oraz ich profesjonalizację;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rekomendowaniu działań i projektów realizowanych przez organizacje.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planowania optymalnej realizacji zadań publicznych należących do sfery działalności pożytku publicznego mogą być tworzone wspólne zespoły o charakterze doradczym i inicjatywnym, złożone z przedstawicieli organizacji oraz przedstawicieli organów gminy.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Tworzenie zespołów odbywa się według właściwości merytorycznej ich działalności.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inicjatywą powołania zespołu mogą wystąpić organy gminy lub organizacje.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7. 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organów gminy wchodzących w skład zespołu, o którym mowa w ust. 4, desygnują: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Gminy – pracowników Urzędu Gminy Białe Błota i kierowników jednostek organizacyjnych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radnych;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8. 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organizacji desygnuje organizacja według zasad przez nią ustalonych.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9. 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Pracom zespołu przewodniczy osoba upoważniona przez Wójta. Z obrad zespołu sporządza się protokół, podpisany przez protokolanta i przewodniczącego zespołu.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8.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Sposób oceny realizacji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11.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Wójt dokonuje kontroli i oceny realizacji programu.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Wskaźnikami efektywności realizacji programu są w szczególności informacje dotyczące: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ogłoszonych konkursów ofert na realizację zadań publicznych,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 biorących udział w otwartych konkursach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złożonych ofert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organizacji, które otrzymały dotacje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wniosków złożonych przez organizacje na realizację zadań publicznych z pominięciem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z pominięciem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h)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 uczestniczących w konsultacjach aktów normatywnych dotyczących sfery pożytku publicznego,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i)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wysokości środków finansowych przeznaczonych z budżetu gminy na realizację zadań publicznych.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Bieżącym monitoringiem w zakresie realizacji zadań programu zajmują się właściwe merytorycznie stanowiska urzędu.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Organizacje mogą zgłaszać swoje uwagi, wnioski i propozycje dotyczące realizacji programu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trakcie organizowanych spotkań z przedstawicielami gminy lub bezpośrednio pracownikowi, zajmującemu się współpracą z organizacjami pozarządowymi.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Uzyskane w trakcie realizacji programu informacje, uwagi, wnioski i propozycje dotyczące realizowanych projektów będą wykorzystywane do usprawnienia bieżącej i przyszłej współpracy gminy z organizacjami.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6. Wójt, nie później niż do 31 maja 202</w:t>
      </w:r>
      <w:r w:rsidR="000A0767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przedłoży Radzie Gminy Białe Błota oraz opublikuje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w Biuletynie Informacji Publicznej sprawozdanie z realizacji Programu współpracy za rok poprzedni.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9.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tworzenia programu oraz przebiegu konsultacji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12.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Procedura współpracy organów gminy z organizacjami w przedmiocie tworzenia programu na kolejny rok winna uwzględniać możliwość czynnego udziału organizacji w procesie przygotowania projektu, zgodnie z uchwałą III/13/2010 Rady Gminy Białe Błota z dnia 10 grudnia 2010 r. w sprawie 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dziedzinach dotyczących działalności statutowej tych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przygotowuje projekt programu na kolejny rok i następnie przedstawia go organizacjom, umieszczając w Biuletynie Informacji Publicznej i umożliwiając szeroki dostęp do uczestnictwa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konsultacjach, wyznaczając termin składania uwag i wniosków do projektu oraz wskazując sposób ich dostarczenia.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Skonsultowany projekt uchwały zostaje przez Wójta przekazany Radzie Gminy Białe Błota.</w:t>
      </w: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10.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Tryb powoływania i zasady działania komisji konkursowych do opiniowania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 otwartych konkursach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13.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opiniowania ofert składanych w otwartych konkursach ofert, Wójt odrębnym Zarządzeniem powołuje Komisję Konkursową, zwaną dalej komisją.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skład komisji wchodzą osoby wskazane przez organizacje, z wyłączeniem osób reprezentujących organizacje biorące udział w konkursie.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Członkowie komisji na pierwszym spotkaniu wybierają ze swojego grona przewodniczącego, kierującego pracami komisji oraz sekretarza.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Komisja obraduje na posiedzeniach zamkniętych, bez udziału oferentów. Termin i miejsce posiedzenia komisji ustala jej przewodniczący.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Dla ważności podejmowanych decyzji, konieczna jest obecność co najmniej połowy jej członków. Komisja podejmuje rozstrzygnięcia w głosowaniu jawnym, zwykłą większością głosów.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przypadku równej liczby głosów decyduje głos przewodniczącego.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Członkowie komisji po jej ukonstytuowaniu, o którym mowa w ust. 3, po zapoznaniu się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z wykazem złożonych ofert, a przed rozpoczęciem ich oceny, składają oświadczenie o braku przeciwwskazań do wykluczenia ich z komisji wynikające z przepisów ustawy z dnia 14 czerwca 1960 r. Kodeks postępowania administracyjnego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CF0E64">
        <w:rPr>
          <w:rFonts w:eastAsia="Times New Roman" w:cstheme="minorHAnsi"/>
          <w:color w:val="000000"/>
          <w:shd w:val="clear" w:color="auto" w:fill="FFFFFF"/>
          <w:lang w:eastAsia="pl-PL"/>
        </w:rPr>
        <w:t>3 r. poz.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7</w:t>
      </w:r>
      <w:r w:rsidR="00CF0E64">
        <w:rPr>
          <w:rFonts w:eastAsia="Times New Roman" w:cstheme="minorHAnsi"/>
          <w:color w:val="000000"/>
          <w:shd w:val="clear" w:color="auto" w:fill="FFFFFF"/>
          <w:lang w:eastAsia="pl-PL"/>
        </w:rPr>
        <w:t>75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późn. zm.) dotyczące wyłączenia członka lub powiadamiają przewodniczącego o zachodzącym konflikcie interesów.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7. 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przypadku, gdy podpisanie oświadczenia przez członka komisji jest niemożliwe, wyboru nowego członka dokonuje Wójt.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8. 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Uczestnictwo w pracach komisji jest nieodpłatne.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9. 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zadań komisji, bez względu na liczbę złożonych ofert, należy w szczególności: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weryfikacja wyników oceny formalnej dokonana przez właściwego merytorycznie pracownika urzędu bądź jednostki organizacyjnej;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ocena merytoryczna ofert spełniających wymagania formalne, pod względem spełniania kryteriów opracowanych dla każdego konkursu osobno, na kartach oceny przygotowanych dla każdego konkursu przez właściwego merytorycznie pracownika;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sporządzenie listy rankingowej ofert, zgodnie z przyznaną punktacją;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sporządzenie propozycji podziału środków finansowych na poszczególne oferty.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10. 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Ostatecznego rozstrzygnięcia konkursu w tym ustalenia wysokości przyznanej dotacji dokonuje Wójt Gminy.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chwilą rozstrzygnięcia konkursu Komisja Konkursowa ulega rozwiązaniu.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końcowe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14.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Dotacje nie mogą być wykorzystane na pokrycie kosztów utrzymania biura organizacji oraz na działalność polityczną i religijną.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Niniejszy program realizowany będzie w okresie od 1 stycznia 202</w:t>
      </w:r>
      <w:r w:rsidR="00CF0E64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do dnia 31 grudnia 202</w:t>
      </w:r>
      <w:r w:rsidR="00CF0E64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3. Zmiany w programie mogą być dokonywane w trybie uchwały Rady Gminy.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0554F7" w:rsidRDefault="000554F7"/>
    <w:sectPr w:rsidR="000554F7" w:rsidSect="002B5D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19" w:rsidRDefault="00B71619" w:rsidP="00CF24A3">
      <w:pPr>
        <w:spacing w:after="0" w:line="240" w:lineRule="auto"/>
      </w:pPr>
      <w:r>
        <w:separator/>
      </w:r>
    </w:p>
  </w:endnote>
  <w:endnote w:type="continuationSeparator" w:id="0">
    <w:p w:rsidR="00B71619" w:rsidRDefault="00B71619" w:rsidP="00CF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0828"/>
      <w:docPartObj>
        <w:docPartGallery w:val="Page Numbers (Bottom of Page)"/>
        <w:docPartUnique/>
      </w:docPartObj>
    </w:sdtPr>
    <w:sdtEndPr/>
    <w:sdtContent>
      <w:p w:rsidR="00CF24A3" w:rsidRDefault="00CF24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4A3" w:rsidRDefault="00CF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19" w:rsidRDefault="00B71619" w:rsidP="00CF24A3">
      <w:pPr>
        <w:spacing w:after="0" w:line="240" w:lineRule="auto"/>
      </w:pPr>
      <w:r>
        <w:separator/>
      </w:r>
    </w:p>
  </w:footnote>
  <w:footnote w:type="continuationSeparator" w:id="0">
    <w:p w:rsidR="00B71619" w:rsidRDefault="00B71619" w:rsidP="00CF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4FB"/>
    <w:multiLevelType w:val="hybridMultilevel"/>
    <w:tmpl w:val="9B4675F6"/>
    <w:lvl w:ilvl="0" w:tplc="DAB86992">
      <w:start w:val="1"/>
      <w:numFmt w:val="decimal"/>
      <w:lvlText w:val="%1)"/>
      <w:lvlJc w:val="left"/>
      <w:pPr>
        <w:ind w:left="47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78A169A"/>
    <w:multiLevelType w:val="hybridMultilevel"/>
    <w:tmpl w:val="87CC3700"/>
    <w:lvl w:ilvl="0" w:tplc="12DAA7C4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C02C70"/>
    <w:multiLevelType w:val="hybridMultilevel"/>
    <w:tmpl w:val="EC04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39D3"/>
    <w:multiLevelType w:val="hybridMultilevel"/>
    <w:tmpl w:val="C1C88B94"/>
    <w:lvl w:ilvl="0" w:tplc="1B26D4B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813479"/>
    <w:multiLevelType w:val="hybridMultilevel"/>
    <w:tmpl w:val="C32C2C42"/>
    <w:lvl w:ilvl="0" w:tplc="C398157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4A"/>
    <w:rsid w:val="000554F7"/>
    <w:rsid w:val="000A0767"/>
    <w:rsid w:val="000A472D"/>
    <w:rsid w:val="001D4DE6"/>
    <w:rsid w:val="001E6D82"/>
    <w:rsid w:val="00285DB9"/>
    <w:rsid w:val="002B5DE5"/>
    <w:rsid w:val="007C294A"/>
    <w:rsid w:val="00AB45E3"/>
    <w:rsid w:val="00B71619"/>
    <w:rsid w:val="00C75A05"/>
    <w:rsid w:val="00CF0E64"/>
    <w:rsid w:val="00CF24A3"/>
    <w:rsid w:val="00D13985"/>
    <w:rsid w:val="00D6558D"/>
    <w:rsid w:val="00E764D0"/>
    <w:rsid w:val="00F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0EEB"/>
  <w15:chartTrackingRefBased/>
  <w15:docId w15:val="{2B56EDF2-9818-4573-B43C-A88513B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9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9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4A3"/>
  </w:style>
  <w:style w:type="paragraph" w:styleId="Stopka">
    <w:name w:val="footer"/>
    <w:basedOn w:val="Normalny"/>
    <w:link w:val="Stopka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Renata RN. Niedzwiecka</cp:lastModifiedBy>
  <cp:revision>3</cp:revision>
  <cp:lastPrinted>2022-10-27T06:51:00Z</cp:lastPrinted>
  <dcterms:created xsi:type="dcterms:W3CDTF">2023-10-16T12:00:00Z</dcterms:created>
  <dcterms:modified xsi:type="dcterms:W3CDTF">2023-10-24T06:13:00Z</dcterms:modified>
</cp:coreProperties>
</file>