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FB13F9">
        <w:rPr>
          <w:rFonts w:asciiTheme="minorHAnsi" w:hAnsiTheme="minorHAnsi" w:cstheme="minorHAnsi"/>
          <w:b/>
        </w:rPr>
        <w:t>93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0D203E">
        <w:rPr>
          <w:rFonts w:asciiTheme="minorHAnsi" w:hAnsiTheme="minorHAnsi" w:cstheme="minorHAnsi"/>
        </w:rPr>
        <w:t>05</w:t>
      </w:r>
      <w:bookmarkStart w:id="0" w:name="_GoBack"/>
      <w:bookmarkEnd w:id="0"/>
      <w:r w:rsidR="00FB13F9">
        <w:rPr>
          <w:rFonts w:asciiTheme="minorHAnsi" w:hAnsiTheme="minorHAnsi" w:cstheme="minorHAnsi"/>
        </w:rPr>
        <w:t>.11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704B9F" w:rsidRPr="003A1B5C" w:rsidRDefault="00704B9F" w:rsidP="00704B9F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Opracowanie dokumentacji Studium Techniczno-Ekonomiczno-Środowiskowego dla połączenia Miasta Bydgoszcz z węzłem drogowym na trasie szybkiego ruchu S5 i S10 w miejscowości Białe Błota</w:t>
      </w:r>
    </w:p>
    <w:p w:rsidR="004B4CB0" w:rsidRDefault="004B4CB0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1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AD508B">
        <w:rPr>
          <w:rFonts w:asciiTheme="minorHAnsi" w:hAnsiTheme="minorHAnsi" w:cstheme="minorHAnsi"/>
          <w:color w:val="FF0000"/>
        </w:rPr>
        <w:t>2</w:t>
      </w:r>
    </w:p>
    <w:bookmarkEnd w:id="1"/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AD508B" w:rsidRDefault="00AD508B" w:rsidP="00FB13F9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AD508B">
        <w:rPr>
          <w:rFonts w:asciiTheme="minorHAnsi" w:hAnsiTheme="minorHAnsi" w:cstheme="minorHAnsi"/>
          <w:spacing w:val="-12"/>
        </w:rPr>
        <w:t xml:space="preserve">Dotyczy warunku udziału w postępowaniu - Pkt. 7.2. </w:t>
      </w:r>
      <w:proofErr w:type="spellStart"/>
      <w:r w:rsidRPr="00AD508B">
        <w:rPr>
          <w:rFonts w:asciiTheme="minorHAnsi" w:hAnsiTheme="minorHAnsi" w:cstheme="minorHAnsi"/>
          <w:spacing w:val="-12"/>
        </w:rPr>
        <w:t>ppkt</w:t>
      </w:r>
      <w:proofErr w:type="spellEnd"/>
      <w:r w:rsidRPr="00AD508B">
        <w:rPr>
          <w:rFonts w:asciiTheme="minorHAnsi" w:hAnsiTheme="minorHAnsi" w:cstheme="minorHAnsi"/>
          <w:spacing w:val="-12"/>
        </w:rPr>
        <w:t>.</w:t>
      </w:r>
      <w:r>
        <w:rPr>
          <w:rFonts w:asciiTheme="minorHAnsi" w:hAnsiTheme="minorHAnsi" w:cstheme="minorHAnsi"/>
          <w:spacing w:val="-12"/>
        </w:rPr>
        <w:t xml:space="preserve"> </w:t>
      </w:r>
      <w:r w:rsidRPr="00AD508B">
        <w:rPr>
          <w:rFonts w:asciiTheme="minorHAnsi" w:hAnsiTheme="minorHAnsi" w:cstheme="minorHAnsi"/>
          <w:spacing w:val="-12"/>
        </w:rPr>
        <w:t xml:space="preserve">3) Wiedza i doświadczenie- zwracamy się z prośbą o wydłużenie okresu, w jakim wykonawca musi wykazać się wiedzą i doświadczeniem z 3 lat przed upływem terminu związania ofertą na 5 lat. Obecny proces wykonania dokumentacji jest długotrwały, procedury uzyskiwania odpowiednich decyzji i uzgodnień trwają bardzo długo. Spełnienie warunku udziału w postępowaniu jest zatem mocno utrudnione dla potencjalnych wykonawców. </w:t>
      </w:r>
    </w:p>
    <w:p w:rsidR="002D2170" w:rsidRPr="00C912FB" w:rsidRDefault="002D2170" w:rsidP="00FB13F9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AD508B" w:rsidRDefault="00586F9C" w:rsidP="00AD508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2E352E">
        <w:rPr>
          <w:rFonts w:asciiTheme="minorHAnsi" w:hAnsiTheme="minorHAnsi" w:cstheme="minorHAnsi"/>
          <w:color w:val="2E74B5"/>
        </w:rPr>
        <w:t xml:space="preserve">Zamawiający informuje, że </w:t>
      </w:r>
      <w:r w:rsidR="00AD508B">
        <w:rPr>
          <w:rFonts w:asciiTheme="minorHAnsi" w:hAnsiTheme="minorHAnsi" w:cstheme="minorHAnsi"/>
          <w:color w:val="2E74B5"/>
        </w:rPr>
        <w:t>zapis pkt 7.2.3) „Wiedza i doświadczenie” pozostaje bez zmian.</w:t>
      </w:r>
    </w:p>
    <w:p w:rsidR="00AD508B" w:rsidRPr="00FD4FE2" w:rsidRDefault="00AD508B" w:rsidP="00AD508B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AD508B" w:rsidRPr="00B72A18" w:rsidRDefault="00AD508B" w:rsidP="00AD508B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B72F84" w:rsidRDefault="00B72F84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140982" w:rsidP="00140982">
      <w:pPr>
        <w:spacing w:line="360" w:lineRule="auto"/>
        <w:rPr>
          <w:rFonts w:asciiTheme="minorHAnsi" w:hAnsiTheme="minorHAnsi" w:cstheme="minorHAnsi"/>
        </w:rPr>
      </w:pPr>
      <w:r w:rsidRPr="00EE1900">
        <w:rPr>
          <w:noProof/>
        </w:rPr>
        <w:drawing>
          <wp:inline distT="0" distB="0" distL="0" distR="0" wp14:anchorId="341DB058" wp14:editId="7202E86C">
            <wp:extent cx="5758815" cy="620395"/>
            <wp:effectExtent l="0" t="0" r="0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E48" w:rsidRDefault="00CE1E48" w:rsidP="00B800FD">
      <w:pPr>
        <w:spacing w:line="360" w:lineRule="auto"/>
        <w:ind w:left="-567"/>
        <w:rPr>
          <w:rFonts w:asciiTheme="minorHAnsi" w:hAnsiTheme="minorHAnsi" w:cstheme="minorHAnsi"/>
        </w:rPr>
      </w:pPr>
    </w:p>
    <w:sectPr w:rsidR="00CE1E48" w:rsidSect="00A1559F">
      <w:headerReference w:type="default" r:id="rId9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5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7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1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3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2"/>
  </w:num>
  <w:num w:numId="4">
    <w:abstractNumId w:val="4"/>
  </w:num>
  <w:num w:numId="5">
    <w:abstractNumId w:val="27"/>
  </w:num>
  <w:num w:numId="6">
    <w:abstractNumId w:val="35"/>
  </w:num>
  <w:num w:numId="7">
    <w:abstractNumId w:val="6"/>
  </w:num>
  <w:num w:numId="8">
    <w:abstractNumId w:val="38"/>
  </w:num>
  <w:num w:numId="9">
    <w:abstractNumId w:val="22"/>
  </w:num>
  <w:num w:numId="10">
    <w:abstractNumId w:val="2"/>
  </w:num>
  <w:num w:numId="11">
    <w:abstractNumId w:val="28"/>
  </w:num>
  <w:num w:numId="12">
    <w:abstractNumId w:val="21"/>
  </w:num>
  <w:num w:numId="13">
    <w:abstractNumId w:val="40"/>
  </w:num>
  <w:num w:numId="14">
    <w:abstractNumId w:val="34"/>
  </w:num>
  <w:num w:numId="15">
    <w:abstractNumId w:val="3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24"/>
  </w:num>
  <w:num w:numId="19">
    <w:abstractNumId w:val="3"/>
  </w:num>
  <w:num w:numId="20">
    <w:abstractNumId w:val="14"/>
  </w:num>
  <w:num w:numId="21">
    <w:abstractNumId w:val="25"/>
  </w:num>
  <w:num w:numId="22">
    <w:abstractNumId w:val="8"/>
  </w:num>
  <w:num w:numId="23">
    <w:abstractNumId w:val="46"/>
  </w:num>
  <w:num w:numId="24">
    <w:abstractNumId w:val="11"/>
  </w:num>
  <w:num w:numId="25">
    <w:abstractNumId w:val="9"/>
  </w:num>
  <w:num w:numId="26">
    <w:abstractNumId w:val="43"/>
  </w:num>
  <w:num w:numId="27">
    <w:abstractNumId w:val="20"/>
  </w:num>
  <w:num w:numId="28">
    <w:abstractNumId w:val="42"/>
  </w:num>
  <w:num w:numId="29">
    <w:abstractNumId w:val="16"/>
  </w:num>
  <w:num w:numId="30">
    <w:abstractNumId w:val="17"/>
  </w:num>
  <w:num w:numId="31">
    <w:abstractNumId w:val="44"/>
  </w:num>
  <w:num w:numId="32">
    <w:abstractNumId w:val="12"/>
  </w:num>
  <w:num w:numId="33">
    <w:abstractNumId w:val="5"/>
  </w:num>
  <w:num w:numId="34">
    <w:abstractNumId w:val="18"/>
  </w:num>
  <w:num w:numId="35">
    <w:abstractNumId w:val="23"/>
  </w:num>
  <w:num w:numId="36">
    <w:abstractNumId w:val="1"/>
  </w:num>
  <w:num w:numId="37">
    <w:abstractNumId w:val="10"/>
  </w:num>
  <w:num w:numId="38">
    <w:abstractNumId w:val="39"/>
  </w:num>
  <w:num w:numId="39">
    <w:abstractNumId w:val="45"/>
  </w:num>
  <w:num w:numId="40">
    <w:abstractNumId w:val="13"/>
  </w:num>
  <w:num w:numId="41">
    <w:abstractNumId w:val="26"/>
  </w:num>
  <w:num w:numId="42">
    <w:abstractNumId w:val="15"/>
  </w:num>
  <w:num w:numId="43">
    <w:abstractNumId w:val="31"/>
  </w:num>
  <w:num w:numId="44">
    <w:abstractNumId w:val="29"/>
  </w:num>
  <w:num w:numId="45">
    <w:abstractNumId w:val="37"/>
  </w:num>
  <w:num w:numId="46">
    <w:abstractNumId w:val="41"/>
  </w:num>
  <w:num w:numId="4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D203E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0982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0CE2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1F1"/>
    <w:rsid w:val="0042208A"/>
    <w:rsid w:val="00422E1D"/>
    <w:rsid w:val="00423DB3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4B9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D508B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33CE"/>
    <w:rsid w:val="00F76658"/>
    <w:rsid w:val="00F8503C"/>
    <w:rsid w:val="00F917F9"/>
    <w:rsid w:val="00F91FD3"/>
    <w:rsid w:val="00F933D8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0613B9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15245-125C-47F4-B091-4AED47B71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2021-08-11T09:37:00Z</cp:lastPrinted>
  <dcterms:created xsi:type="dcterms:W3CDTF">2021-11-05T07:26:00Z</dcterms:created>
  <dcterms:modified xsi:type="dcterms:W3CDTF">2021-11-05T11:44:00Z</dcterms:modified>
</cp:coreProperties>
</file>