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834A8B">
        <w:rPr>
          <w:rFonts w:asciiTheme="minorHAnsi" w:hAnsiTheme="minorHAnsi" w:cstheme="minorHAnsi"/>
          <w:b/>
        </w:rPr>
        <w:t>RZP</w:t>
      </w:r>
      <w:r w:rsidRPr="00834A8B">
        <w:rPr>
          <w:rFonts w:asciiTheme="minorHAnsi" w:hAnsiTheme="minorHAnsi" w:cstheme="minorHAnsi"/>
          <w:b/>
        </w:rPr>
        <w:t>.271</w:t>
      </w:r>
      <w:r w:rsidR="00423C13" w:rsidRPr="00834A8B">
        <w:rPr>
          <w:rFonts w:asciiTheme="minorHAnsi" w:hAnsiTheme="minorHAnsi" w:cstheme="minorHAnsi"/>
          <w:b/>
        </w:rPr>
        <w:t>.</w:t>
      </w:r>
      <w:r w:rsidR="00B94220">
        <w:rPr>
          <w:rFonts w:asciiTheme="minorHAnsi" w:hAnsiTheme="minorHAnsi" w:cstheme="minorHAnsi"/>
          <w:b/>
        </w:rPr>
        <w:t>35</w:t>
      </w:r>
      <w:r w:rsidR="00FA6631" w:rsidRPr="00834A8B">
        <w:rPr>
          <w:rFonts w:asciiTheme="minorHAnsi" w:hAnsiTheme="minorHAnsi" w:cstheme="minorHAnsi"/>
          <w:b/>
        </w:rPr>
        <w:t>.20</w:t>
      </w:r>
      <w:r w:rsidR="00834A8B" w:rsidRPr="00834A8B">
        <w:rPr>
          <w:rFonts w:asciiTheme="minorHAnsi" w:hAnsiTheme="minorHAnsi" w:cstheme="minorHAnsi"/>
          <w:b/>
        </w:rPr>
        <w:t>22</w:t>
      </w:r>
      <w:r w:rsidR="00FA6631" w:rsidRPr="00467480">
        <w:rPr>
          <w:rFonts w:asciiTheme="minorHAnsi" w:hAnsiTheme="minorHAnsi" w:cstheme="minorHAnsi"/>
          <w:b/>
        </w:rPr>
        <w:t>.ZP</w:t>
      </w:r>
      <w:r w:rsidR="00B94220">
        <w:rPr>
          <w:rFonts w:asciiTheme="minorHAnsi" w:hAnsiTheme="minorHAnsi" w:cstheme="minorHAnsi"/>
          <w:b/>
        </w:rPr>
        <w:t>1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8906DF">
        <w:rPr>
          <w:rFonts w:asciiTheme="minorHAnsi" w:hAnsiTheme="minorHAnsi" w:cstheme="minorHAnsi"/>
        </w:rPr>
        <w:t xml:space="preserve">Białe Błota, dnia </w:t>
      </w:r>
      <w:r w:rsidR="002F656D">
        <w:rPr>
          <w:rFonts w:asciiTheme="minorHAnsi" w:hAnsiTheme="minorHAnsi" w:cstheme="minorHAnsi"/>
        </w:rPr>
        <w:t>1</w:t>
      </w:r>
      <w:r w:rsidR="00A11B75">
        <w:rPr>
          <w:rFonts w:asciiTheme="minorHAnsi" w:hAnsiTheme="minorHAnsi" w:cstheme="minorHAnsi"/>
        </w:rPr>
        <w:t>4</w:t>
      </w:r>
      <w:bookmarkStart w:id="0" w:name="_GoBack"/>
      <w:bookmarkEnd w:id="0"/>
      <w:r w:rsidR="00B94220">
        <w:rPr>
          <w:rFonts w:asciiTheme="minorHAnsi" w:hAnsiTheme="minorHAnsi" w:cstheme="minorHAnsi"/>
        </w:rPr>
        <w:t>.09</w:t>
      </w:r>
      <w:r w:rsidR="00834A8B">
        <w:rPr>
          <w:rFonts w:asciiTheme="minorHAnsi" w:hAnsiTheme="minorHAnsi" w:cstheme="minorHAnsi"/>
        </w:rPr>
        <w:t>.2022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B94220" w:rsidRDefault="00B94220" w:rsidP="00B94220">
      <w:pPr>
        <w:pStyle w:val="Akapitzlist"/>
        <w:spacing w:line="360" w:lineRule="auto"/>
        <w:ind w:left="0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C23CF7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Modernizacja obiektu lekkoatletycznego polegająca na remoncie bieżni i skoczni na boisku szkolnym przy Szkole Podstawowej w Białych Błotach - obiekt certyfikowany</w:t>
      </w:r>
    </w:p>
    <w:p w:rsidR="00B94220" w:rsidRDefault="00B94220" w:rsidP="00B94220">
      <w:pPr>
        <w:pStyle w:val="Akapitzlist"/>
        <w:spacing w:line="360" w:lineRule="auto"/>
        <w:ind w:left="0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255 pkt 1 ustawy </w:t>
      </w:r>
      <w:bookmarkStart w:id="1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1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Prawo zamówień publicznych (t. j. Dz. U. z 20</w:t>
      </w:r>
      <w:r>
        <w:rPr>
          <w:rFonts w:asciiTheme="minorHAnsi" w:eastAsiaTheme="minorHAnsi" w:hAnsiTheme="minorHAnsi" w:cstheme="minorHAnsi"/>
          <w:spacing w:val="-10"/>
          <w:lang w:eastAsia="en-US"/>
        </w:rPr>
        <w:t>21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0"/>
          <w:lang w:eastAsia="en-US"/>
        </w:rPr>
        <w:t>1129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ze zm.)</w:t>
      </w:r>
      <w:r w:rsidR="00834A8B">
        <w:rPr>
          <w:rFonts w:asciiTheme="minorHAnsi" w:eastAsiaTheme="minorHAnsi" w:hAnsiTheme="minorHAnsi" w:cstheme="minorHAnsi"/>
          <w:spacing w:val="-10"/>
          <w:lang w:eastAsia="en-US"/>
        </w:rPr>
        <w:t xml:space="preserve"> 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- 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C32B1C" w:rsidRDefault="00C32B1C" w:rsidP="002205BE">
      <w:pPr>
        <w:suppressAutoHyphens w:val="0"/>
        <w:spacing w:after="160" w:line="276" w:lineRule="auto"/>
        <w:jc w:val="both"/>
      </w:pPr>
    </w:p>
    <w:p w:rsidR="008906DF" w:rsidRDefault="002F656D" w:rsidP="002F656D">
      <w:pPr>
        <w:suppressAutoHyphens w:val="0"/>
        <w:ind w:left="496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WÓJT</w:t>
      </w:r>
    </w:p>
    <w:p w:rsidR="002F656D" w:rsidRDefault="002F656D" w:rsidP="002F656D">
      <w:pPr>
        <w:suppressAutoHyphens w:val="0"/>
        <w:ind w:left="496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 nieczytelny</w:t>
      </w:r>
    </w:p>
    <w:p w:rsidR="002F656D" w:rsidRPr="008906DF" w:rsidRDefault="002F656D" w:rsidP="002F656D">
      <w:pPr>
        <w:suppressAutoHyphens w:val="0"/>
        <w:ind w:left="496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Dariusz Fundator</w:t>
      </w:r>
    </w:p>
    <w:sectPr w:rsidR="002F656D" w:rsidRPr="008906DF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3778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2F656D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324F5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34A8B"/>
    <w:rsid w:val="008449FA"/>
    <w:rsid w:val="00861CEF"/>
    <w:rsid w:val="008906DF"/>
    <w:rsid w:val="0089304F"/>
    <w:rsid w:val="00895DFE"/>
    <w:rsid w:val="008A60F2"/>
    <w:rsid w:val="008C685D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D1554"/>
    <w:rsid w:val="009D5B53"/>
    <w:rsid w:val="009E2782"/>
    <w:rsid w:val="009E482C"/>
    <w:rsid w:val="009F5A07"/>
    <w:rsid w:val="00A00F2E"/>
    <w:rsid w:val="00A116A1"/>
    <w:rsid w:val="00A11B75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94220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  <w:rsid w:val="00FE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DF2CBF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A6E8E-B2D8-47A9-8464-396B5D78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2022-06-14T06:33:00Z</cp:lastPrinted>
  <dcterms:created xsi:type="dcterms:W3CDTF">2022-09-12T08:46:00Z</dcterms:created>
  <dcterms:modified xsi:type="dcterms:W3CDTF">2022-09-14T10:46:00Z</dcterms:modified>
</cp:coreProperties>
</file>