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C3699" w:rsidRPr="008B6582" w:rsidRDefault="004464F2" w:rsidP="001C6C1D">
      <w:pPr>
        <w:jc w:val="both"/>
        <w:rPr>
          <w:b/>
        </w:rPr>
      </w:pPr>
      <w:r>
        <w:rPr>
          <w:b/>
        </w:rPr>
        <w:t xml:space="preserve">Nr sprawy: </w:t>
      </w:r>
      <w:r w:rsidR="00340C31">
        <w:rPr>
          <w:b/>
        </w:rPr>
        <w:t xml:space="preserve"> RZP.271.56</w:t>
      </w:r>
      <w:r w:rsidR="00DC3699" w:rsidRPr="008B6582">
        <w:rPr>
          <w:b/>
        </w:rPr>
        <w:t>.20</w:t>
      </w:r>
      <w:r w:rsidR="00DF62CE">
        <w:rPr>
          <w:b/>
        </w:rPr>
        <w:t>22</w:t>
      </w:r>
      <w:r w:rsidR="00DC3699">
        <w:rPr>
          <w:b/>
        </w:rPr>
        <w:t>.</w:t>
      </w:r>
      <w:r w:rsidR="009216D7">
        <w:rPr>
          <w:b/>
        </w:rPr>
        <w:t>ZP3</w:t>
      </w:r>
    </w:p>
    <w:p w:rsidR="00DC3699" w:rsidRPr="008B6582" w:rsidRDefault="00DC3699" w:rsidP="001C6C1D">
      <w:pPr>
        <w:jc w:val="right"/>
      </w:pPr>
      <w:r w:rsidRPr="008B6582">
        <w:t>Białe Błota</w:t>
      </w:r>
      <w:r w:rsidR="00B045E5">
        <w:t>, dnia 28.</w:t>
      </w:r>
      <w:bookmarkStart w:id="0" w:name="_GoBack"/>
      <w:bookmarkEnd w:id="0"/>
      <w:r w:rsidR="00340C31">
        <w:t>09</w:t>
      </w:r>
      <w:r w:rsidR="00DF62CE">
        <w:t>.2022</w:t>
      </w:r>
      <w:r w:rsidRPr="008B6582">
        <w:t xml:space="preserve"> r.</w:t>
      </w:r>
    </w:p>
    <w:p w:rsidR="00DC3699" w:rsidRDefault="00DC3699" w:rsidP="001C6C1D">
      <w:pPr>
        <w:jc w:val="both"/>
        <w:rPr>
          <w:b/>
        </w:rPr>
      </w:pPr>
    </w:p>
    <w:p w:rsidR="00054DA8" w:rsidRPr="008B6582" w:rsidRDefault="00054DA8" w:rsidP="001C6C1D">
      <w:pPr>
        <w:jc w:val="both"/>
        <w:rPr>
          <w:b/>
        </w:rPr>
      </w:pPr>
    </w:p>
    <w:p w:rsidR="00FA6C0F" w:rsidRPr="008B6582" w:rsidRDefault="00FA6C0F" w:rsidP="001C6C1D">
      <w:pPr>
        <w:jc w:val="both"/>
        <w:rPr>
          <w:b/>
        </w:rPr>
      </w:pPr>
    </w:p>
    <w:p w:rsidR="008244F7" w:rsidRPr="00C912FB" w:rsidRDefault="008244F7" w:rsidP="008244F7">
      <w:pPr>
        <w:spacing w:line="360" w:lineRule="auto"/>
        <w:jc w:val="both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:rsidR="00340C31" w:rsidRPr="00340C31" w:rsidRDefault="00340C31" w:rsidP="00340C31">
      <w:pPr>
        <w:spacing w:after="240" w:line="360" w:lineRule="auto"/>
        <w:ind w:right="62"/>
        <w:rPr>
          <w:rFonts w:asciiTheme="minorHAnsi" w:hAnsiTheme="minorHAnsi" w:cstheme="minorHAnsi"/>
          <w:b/>
          <w:bCs/>
          <w:color w:val="0070C0"/>
        </w:rPr>
      </w:pPr>
      <w:r w:rsidRPr="00340C31">
        <w:rPr>
          <w:rFonts w:asciiTheme="minorHAnsi" w:hAnsiTheme="minorHAnsi" w:cstheme="minorHAnsi"/>
          <w:b/>
          <w:bCs/>
          <w:color w:val="0070C0"/>
        </w:rPr>
        <w:t>Budowa oświetlenia na terenie Gminy Białe Błota z podziałem na części:</w:t>
      </w:r>
    </w:p>
    <w:p w:rsidR="00340C31" w:rsidRPr="00340C31" w:rsidRDefault="00340C31" w:rsidP="00340C31">
      <w:pPr>
        <w:spacing w:after="240" w:line="360" w:lineRule="auto"/>
        <w:ind w:right="62"/>
        <w:rPr>
          <w:rFonts w:asciiTheme="minorHAnsi" w:hAnsiTheme="minorHAnsi" w:cstheme="minorHAnsi"/>
          <w:b/>
          <w:bCs/>
          <w:color w:val="0070C0"/>
        </w:rPr>
      </w:pPr>
      <w:r w:rsidRPr="00340C31">
        <w:rPr>
          <w:rFonts w:asciiTheme="minorHAnsi" w:hAnsiTheme="minorHAnsi" w:cstheme="minorHAnsi"/>
          <w:b/>
          <w:bCs/>
          <w:color w:val="0070C0"/>
        </w:rPr>
        <w:t>Część 1: Budowa oświetlenia przejść dla pieszych w miejscowości Białe Błota (w ramach zadania: „Budowa oświetlenia przy przejściach dla pieszych na skrzyżowaniach ulic Centralnej i Barwinkowej oraz Szubińskiej i Barwinkowej w Białych Błotach”),</w:t>
      </w:r>
    </w:p>
    <w:p w:rsidR="008244F7" w:rsidRPr="00340C31" w:rsidRDefault="00340C31" w:rsidP="00340C31">
      <w:pPr>
        <w:pStyle w:val="Akapitzlist"/>
        <w:spacing w:after="120" w:line="360" w:lineRule="auto"/>
        <w:ind w:left="0"/>
        <w:rPr>
          <w:rFonts w:asciiTheme="minorHAnsi" w:hAnsiTheme="minorHAnsi" w:cstheme="minorHAnsi"/>
          <w:b/>
        </w:rPr>
      </w:pPr>
      <w:r w:rsidRPr="00340C31">
        <w:rPr>
          <w:rFonts w:asciiTheme="minorHAnsi" w:hAnsiTheme="minorHAnsi" w:cstheme="minorHAnsi"/>
          <w:b/>
          <w:bCs/>
          <w:color w:val="0070C0"/>
        </w:rPr>
        <w:t>Część 2: Budowa oświetlenia dróg w miejscowościach Łochowice i Przyłęki (w ramach zadań: „Budowa oświetlenia na ul. Bażanciej w Łochowicach” i „Budowa oświetlenia dróg na terenie sołectwa Przyłęki”)</w:t>
      </w:r>
    </w:p>
    <w:p w:rsidR="008244F7" w:rsidRPr="00C912FB" w:rsidRDefault="008244F7" w:rsidP="008244F7">
      <w:pPr>
        <w:pStyle w:val="Akapitzlist"/>
        <w:spacing w:after="240"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WYJAŚNIENIE  TREŚCI  SWZ</w:t>
      </w:r>
    </w:p>
    <w:p w:rsidR="008244F7" w:rsidRPr="00C912FB" w:rsidRDefault="008244F7" w:rsidP="008244F7">
      <w:pPr>
        <w:pStyle w:val="dowiadomoci"/>
        <w:numPr>
          <w:ilvl w:val="0"/>
          <w:numId w:val="41"/>
        </w:numPr>
        <w:spacing w:line="360" w:lineRule="auto"/>
        <w:ind w:left="0" w:hanging="426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>W związku ze zwróceniem się Wykonawc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y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do Zamawiającego o wyjaśnienie 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eśnia 2019 r. Prawo Zamówień Publicznych (dalej zwana ustawą </w:t>
      </w:r>
      <w:proofErr w:type="spellStart"/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nia</w:t>
      </w:r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wraz z wyjaśnieniami:</w:t>
      </w:r>
    </w:p>
    <w:p w:rsidR="008244F7" w:rsidRDefault="008244F7" w:rsidP="008244F7">
      <w:pPr>
        <w:jc w:val="both"/>
        <w:rPr>
          <w:rFonts w:ascii="Calibri" w:hAnsi="Calibri" w:cs="Calibri"/>
          <w:b/>
          <w:i/>
          <w:spacing w:val="-8"/>
          <w:lang w:eastAsia="pl-PL"/>
        </w:rPr>
      </w:pPr>
    </w:p>
    <w:p w:rsidR="0045482C" w:rsidRPr="0045482C" w:rsidRDefault="0045482C" w:rsidP="00BD1062">
      <w:pPr>
        <w:rPr>
          <w:rFonts w:asciiTheme="minorHAnsi" w:hAnsiTheme="minorHAnsi" w:cstheme="minorHAnsi"/>
          <w:b/>
          <w:i/>
          <w:spacing w:val="-8"/>
          <w:u w:val="single"/>
        </w:rPr>
      </w:pPr>
      <w:r w:rsidRPr="0045482C">
        <w:rPr>
          <w:rFonts w:asciiTheme="minorHAnsi" w:hAnsiTheme="minorHAnsi" w:cstheme="minorHAnsi"/>
          <w:b/>
          <w:i/>
          <w:spacing w:val="-8"/>
          <w:u w:val="single"/>
        </w:rPr>
        <w:t>Pytania – zestaw 1</w:t>
      </w:r>
    </w:p>
    <w:p w:rsidR="0045482C" w:rsidRPr="0045482C" w:rsidRDefault="0045482C" w:rsidP="00BD1062">
      <w:pPr>
        <w:rPr>
          <w:rFonts w:asciiTheme="minorHAnsi" w:hAnsiTheme="minorHAnsi" w:cstheme="minorHAnsi"/>
          <w:b/>
          <w:i/>
          <w:spacing w:val="-8"/>
        </w:rPr>
      </w:pPr>
    </w:p>
    <w:p w:rsidR="00FD5B89" w:rsidRDefault="00340C31" w:rsidP="008244F7">
      <w:pPr>
        <w:spacing w:line="360" w:lineRule="auto"/>
        <w:rPr>
          <w:rFonts w:asciiTheme="minorHAnsi" w:hAnsiTheme="minorHAnsi" w:cstheme="minorHAnsi"/>
          <w:spacing w:val="-8"/>
        </w:rPr>
      </w:pPr>
      <w:r w:rsidRPr="00340C31">
        <w:rPr>
          <w:rFonts w:asciiTheme="minorHAnsi" w:hAnsiTheme="minorHAnsi" w:cstheme="minorHAnsi"/>
          <w:spacing w:val="-8"/>
        </w:rPr>
        <w:t>1 ) Czy realizowany inwestycja ma przyjęte obliczenia co do opraw Led zgodne z klasami oświetlenia dróg M2 ,M3, M6 które zapewnią bezpieczeństwo na drogach, dołączenie odpowiednich obliczeń fotometrycznych do zamówienia.</w:t>
      </w:r>
    </w:p>
    <w:p w:rsidR="00FD5B89" w:rsidRPr="00C208F7" w:rsidRDefault="00FD5B89" w:rsidP="00FD5B89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r w:rsidRPr="00C208F7">
        <w:rPr>
          <w:rFonts w:asciiTheme="minorHAnsi" w:hAnsiTheme="minorHAnsi" w:cstheme="minorHAnsi"/>
          <w:b/>
          <w:i/>
          <w:color w:val="2E74B5"/>
        </w:rPr>
        <w:t>Odpowiedź 1</w:t>
      </w:r>
      <w:r>
        <w:rPr>
          <w:rFonts w:asciiTheme="minorHAnsi" w:hAnsiTheme="minorHAnsi" w:cstheme="minorHAnsi"/>
          <w:b/>
          <w:i/>
          <w:color w:val="2E74B5"/>
        </w:rPr>
        <w:t>)</w:t>
      </w:r>
    </w:p>
    <w:p w:rsidR="00CF6852" w:rsidRPr="00CF6852" w:rsidRDefault="00CF6852" w:rsidP="008244F7">
      <w:pPr>
        <w:spacing w:line="360" w:lineRule="auto"/>
        <w:rPr>
          <w:rFonts w:asciiTheme="minorHAnsi" w:hAnsiTheme="minorHAnsi" w:cstheme="minorHAnsi"/>
          <w:color w:val="0070C0"/>
          <w:spacing w:val="-8"/>
        </w:rPr>
      </w:pPr>
      <w:r w:rsidRPr="00CF6852">
        <w:rPr>
          <w:rFonts w:asciiTheme="minorHAnsi" w:hAnsiTheme="minorHAnsi" w:cstheme="minorHAnsi"/>
          <w:color w:val="0070C0"/>
          <w:spacing w:val="-8"/>
        </w:rPr>
        <w:t xml:space="preserve">Zgodnie z oświadczeniem projektantów, dołączonych do dokumentacji projektowych, projekty zostały wykonane zgodnie z obowiązującymi przepisami i normami.  </w:t>
      </w:r>
    </w:p>
    <w:p w:rsidR="00FD5B89" w:rsidRDefault="00340C31" w:rsidP="008244F7">
      <w:pPr>
        <w:spacing w:line="360" w:lineRule="auto"/>
        <w:rPr>
          <w:rFonts w:asciiTheme="minorHAnsi" w:hAnsiTheme="minorHAnsi" w:cstheme="minorHAnsi"/>
          <w:spacing w:val="-8"/>
        </w:rPr>
      </w:pPr>
      <w:r w:rsidRPr="00340C31">
        <w:rPr>
          <w:rFonts w:asciiTheme="minorHAnsi" w:hAnsiTheme="minorHAnsi" w:cstheme="minorHAnsi"/>
          <w:spacing w:val="-8"/>
        </w:rPr>
        <w:br/>
        <w:t xml:space="preserve">2) Proszę o dodanie do SIWZ więcej obowiązujących informacji i Norm na zamawiane produkty w opisach, w które ma zastosowane średnica minimalna wysięgnika 4,2 cm do 6,00 cm mocowanie oraz uchwyt mocujący lampę, a nie zostały podane . Obowiązujące normy oświetlenia drogowego powinny zapewniać bezpieczeństwo osobom poruszającym się po nich, oraz swobodę poruszania się </w:t>
      </w:r>
      <w:r w:rsidRPr="00340C31">
        <w:rPr>
          <w:rFonts w:asciiTheme="minorHAnsi" w:hAnsiTheme="minorHAnsi" w:cstheme="minorHAnsi"/>
          <w:spacing w:val="-8"/>
        </w:rPr>
        <w:lastRenderedPageBreak/>
        <w:t>wszystkim uczestników ruchu. nowych norm: PN-EN 13201-2 :2016-03 . Czy powinny być zachowane prawo własności intelektualnej i przemysłowej co do Diody Led i innych technologii świetlnych zastosowane w lampach Led, niniejszej zwalczaniu nieuczciwej konkurencji .</w:t>
      </w:r>
    </w:p>
    <w:p w:rsidR="00FD5B89" w:rsidRPr="00C208F7" w:rsidRDefault="00FD5B89" w:rsidP="00FD5B89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r>
        <w:rPr>
          <w:rFonts w:asciiTheme="minorHAnsi" w:hAnsiTheme="minorHAnsi" w:cstheme="minorHAnsi"/>
          <w:b/>
          <w:i/>
          <w:color w:val="2E74B5"/>
        </w:rPr>
        <w:t>Odpowiedź 2)</w:t>
      </w:r>
    </w:p>
    <w:p w:rsidR="00CF6852" w:rsidRPr="00CF6852" w:rsidRDefault="00CF6852" w:rsidP="00CF6852">
      <w:pPr>
        <w:jc w:val="both"/>
        <w:rPr>
          <w:rFonts w:asciiTheme="minorHAnsi" w:hAnsiTheme="minorHAnsi" w:cstheme="minorHAnsi"/>
          <w:color w:val="0070C0"/>
        </w:rPr>
      </w:pPr>
      <w:r w:rsidRPr="00CF6852">
        <w:rPr>
          <w:rFonts w:asciiTheme="minorHAnsi" w:hAnsiTheme="minorHAnsi" w:cstheme="minorHAnsi"/>
          <w:color w:val="0070C0"/>
        </w:rPr>
        <w:t xml:space="preserve">Zadanie należy realizować zgodnie z obowiązującymi przepisami i normami. </w:t>
      </w:r>
    </w:p>
    <w:p w:rsidR="00FD5B89" w:rsidRDefault="00340C31" w:rsidP="008244F7">
      <w:pPr>
        <w:spacing w:line="360" w:lineRule="auto"/>
        <w:rPr>
          <w:rFonts w:asciiTheme="minorHAnsi" w:hAnsiTheme="minorHAnsi" w:cstheme="minorHAnsi"/>
          <w:spacing w:val="-8"/>
        </w:rPr>
      </w:pPr>
      <w:r w:rsidRPr="00340C31">
        <w:rPr>
          <w:rFonts w:asciiTheme="minorHAnsi" w:hAnsiTheme="minorHAnsi" w:cstheme="minorHAnsi"/>
          <w:spacing w:val="-8"/>
        </w:rPr>
        <w:br/>
        <w:t>2a</w:t>
      </w:r>
      <w:r>
        <w:rPr>
          <w:rFonts w:asciiTheme="minorHAnsi" w:hAnsiTheme="minorHAnsi" w:cstheme="minorHAnsi"/>
          <w:spacing w:val="-8"/>
        </w:rPr>
        <w:t>)</w:t>
      </w:r>
      <w:r w:rsidRPr="00340C31">
        <w:rPr>
          <w:rFonts w:asciiTheme="minorHAnsi" w:hAnsiTheme="minorHAnsi" w:cstheme="minorHAnsi"/>
          <w:spacing w:val="-8"/>
        </w:rPr>
        <w:t xml:space="preserve"> Czy do analizy powinny służyły następujące akty prawne i dyrektywy EU, rozporządzenia zgodnie z Ustawą 20 maj 2016 </w:t>
      </w:r>
      <w:proofErr w:type="spellStart"/>
      <w:r w:rsidRPr="00340C31">
        <w:rPr>
          <w:rFonts w:asciiTheme="minorHAnsi" w:hAnsiTheme="minorHAnsi" w:cstheme="minorHAnsi"/>
          <w:spacing w:val="-8"/>
        </w:rPr>
        <w:t>poz</w:t>
      </w:r>
      <w:proofErr w:type="spellEnd"/>
      <w:r w:rsidRPr="00340C31">
        <w:rPr>
          <w:rFonts w:asciiTheme="minorHAnsi" w:hAnsiTheme="minorHAnsi" w:cstheme="minorHAnsi"/>
          <w:spacing w:val="-8"/>
        </w:rPr>
        <w:t xml:space="preserve"> 831 Energetyczną o przeprowadzeniu audytu energetycznego zgodnie z , wynikający z art.4 ust.3 TUE oraz art.7 Konstytucji RP, obowiązek respektowania zasad prawa unijnego przy wykonywaniu kompetencji przewidzianych dla niego w ustawy Prawa własności intelektualnych, z zakresu własności przemysłowej.</w:t>
      </w:r>
    </w:p>
    <w:p w:rsidR="00FD5B89" w:rsidRPr="00C208F7" w:rsidRDefault="00FD5B89" w:rsidP="00FD5B89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r>
        <w:rPr>
          <w:rFonts w:asciiTheme="minorHAnsi" w:hAnsiTheme="minorHAnsi" w:cstheme="minorHAnsi"/>
          <w:b/>
          <w:i/>
          <w:color w:val="2E74B5"/>
        </w:rPr>
        <w:t>Odpowiedź 2a)</w:t>
      </w:r>
    </w:p>
    <w:p w:rsidR="00CF6852" w:rsidRPr="00CF6852" w:rsidRDefault="00CF6852" w:rsidP="00CF6852">
      <w:pPr>
        <w:jc w:val="both"/>
        <w:rPr>
          <w:rFonts w:asciiTheme="minorHAnsi" w:hAnsiTheme="minorHAnsi" w:cstheme="minorHAnsi"/>
          <w:color w:val="7030A0"/>
        </w:rPr>
      </w:pPr>
      <w:r w:rsidRPr="00CF6852">
        <w:rPr>
          <w:rFonts w:asciiTheme="minorHAnsi" w:hAnsiTheme="minorHAnsi" w:cstheme="minorHAnsi"/>
          <w:color w:val="0070C0"/>
        </w:rPr>
        <w:t xml:space="preserve">Zadanie należy realizować zgodnie z obowiązującymi przepisami i normami. </w:t>
      </w:r>
    </w:p>
    <w:p w:rsidR="00FD5B89" w:rsidRDefault="00340C31" w:rsidP="008244F7">
      <w:pPr>
        <w:spacing w:line="360" w:lineRule="auto"/>
        <w:rPr>
          <w:rFonts w:asciiTheme="minorHAnsi" w:hAnsiTheme="minorHAnsi" w:cstheme="minorHAnsi"/>
          <w:spacing w:val="-8"/>
        </w:rPr>
      </w:pPr>
      <w:r w:rsidRPr="00340C31">
        <w:rPr>
          <w:rFonts w:asciiTheme="minorHAnsi" w:hAnsiTheme="minorHAnsi" w:cstheme="minorHAnsi"/>
          <w:spacing w:val="-8"/>
        </w:rPr>
        <w:br/>
        <w:t>3) Producent opraw oświetleniowych deklaruje zgodności z następującymi normami z zakresu bezpieczeństwa użytkowania: Obecnie, na terenie UE obowiązują normy bezpieczeństwa IEC oraz wymogi bezpieczeństwa PNEN 60061, PN-EN 60598, PN-EN 61347, EN 62031, PN-EN 62471, PN-EN 62560 i PN- EN 62663-1. Przepisy te są ujęte w licznych Dyrektywach UE, m.in. w sprawie urządzeń niskonapięciowych i kompatybilności elektromagnetycznej oraz w przepisach (</w:t>
      </w:r>
      <w:proofErr w:type="spellStart"/>
      <w:r w:rsidRPr="00340C31">
        <w:rPr>
          <w:rFonts w:asciiTheme="minorHAnsi" w:hAnsiTheme="minorHAnsi" w:cstheme="minorHAnsi"/>
          <w:spacing w:val="-8"/>
        </w:rPr>
        <w:t>ekoprojekt</w:t>
      </w:r>
      <w:proofErr w:type="spellEnd"/>
      <w:r w:rsidRPr="00340C31">
        <w:rPr>
          <w:rFonts w:asciiTheme="minorHAnsi" w:hAnsiTheme="minorHAnsi" w:cstheme="minorHAnsi"/>
          <w:spacing w:val="-8"/>
        </w:rPr>
        <w:t>) Gdzie warunkiem zapewniającym zgodność jest posiadanie znaku CE przez produkty LED odnoszą się do Europejskiej Bazy Danych Produktów dotyczących Etykietowania Energii.</w:t>
      </w:r>
    </w:p>
    <w:p w:rsidR="00FD5B89" w:rsidRPr="00C208F7" w:rsidRDefault="00FD5B89" w:rsidP="00FD5B89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r>
        <w:rPr>
          <w:rFonts w:asciiTheme="minorHAnsi" w:hAnsiTheme="minorHAnsi" w:cstheme="minorHAnsi"/>
          <w:b/>
          <w:i/>
          <w:color w:val="2E74B5"/>
        </w:rPr>
        <w:t>Odpowiedź 3)</w:t>
      </w:r>
    </w:p>
    <w:p w:rsidR="00CF6852" w:rsidRDefault="00CF6852" w:rsidP="008244F7">
      <w:pPr>
        <w:spacing w:line="360" w:lineRule="auto"/>
        <w:rPr>
          <w:rFonts w:asciiTheme="minorHAnsi" w:hAnsiTheme="minorHAnsi" w:cstheme="minorHAnsi"/>
          <w:spacing w:val="-8"/>
        </w:rPr>
      </w:pPr>
      <w:r w:rsidRPr="00CF6852">
        <w:rPr>
          <w:rFonts w:asciiTheme="minorHAnsi" w:hAnsiTheme="minorHAnsi" w:cstheme="minorHAnsi"/>
          <w:color w:val="0070C0"/>
          <w:spacing w:val="-8"/>
        </w:rPr>
        <w:t>Każdy materiał dopuszczony do wykorzystania na budowie na terenie UE winien posiadać deklaracje właściwości użytkowych oraz zgodności z obowiązującymi normami. Za powyższe odpowiada producent danego materiału.</w:t>
      </w:r>
    </w:p>
    <w:p w:rsidR="00FD5B89" w:rsidRDefault="00340C31" w:rsidP="008244F7">
      <w:pPr>
        <w:spacing w:line="360" w:lineRule="auto"/>
        <w:rPr>
          <w:rFonts w:asciiTheme="minorHAnsi" w:hAnsiTheme="minorHAnsi" w:cstheme="minorHAnsi"/>
          <w:spacing w:val="-8"/>
        </w:rPr>
      </w:pPr>
      <w:r w:rsidRPr="00340C31">
        <w:rPr>
          <w:rFonts w:asciiTheme="minorHAnsi" w:hAnsiTheme="minorHAnsi" w:cstheme="minorHAnsi"/>
          <w:spacing w:val="-8"/>
        </w:rPr>
        <w:br/>
        <w:t xml:space="preserve">3a) czy SIWS powinien zawierać opis w sprawie że od 1 stycznia 2019 r. dostawcy (importerzy, producenci) są zobowiązani </w:t>
      </w:r>
      <w:proofErr w:type="spellStart"/>
      <w:r w:rsidRPr="00340C31">
        <w:rPr>
          <w:rFonts w:asciiTheme="minorHAnsi" w:hAnsiTheme="minorHAnsi" w:cstheme="minorHAnsi"/>
          <w:spacing w:val="-8"/>
        </w:rPr>
        <w:t>dorejestracji</w:t>
      </w:r>
      <w:proofErr w:type="spellEnd"/>
      <w:r w:rsidRPr="00340C31">
        <w:rPr>
          <w:rFonts w:asciiTheme="minorHAnsi" w:hAnsiTheme="minorHAnsi" w:cstheme="minorHAnsi"/>
          <w:spacing w:val="-8"/>
        </w:rPr>
        <w:t xml:space="preserve"> swoich urządzeń, które muszą posiadać etykietę energetyczną EPREL, zanim będą mogły zostać sprzedane na rynku europejskim. W dokumentach do projektu i SIWZ nie zostały uwzględnione Normy EU dla użytkowników i wymogów bezpieczeństwa : </w:t>
      </w:r>
      <w:r w:rsidRPr="00340C31">
        <w:rPr>
          <w:rFonts w:asciiTheme="minorHAnsi" w:hAnsiTheme="minorHAnsi" w:cstheme="minorHAnsi"/>
          <w:spacing w:val="-8"/>
        </w:rPr>
        <w:lastRenderedPageBreak/>
        <w:t>Badania na zgodność Ustawy o ogólnym bezpieczeństwie produktów, wymagania dla sprzętu elektrycznego i jego oznakowania:</w:t>
      </w:r>
    </w:p>
    <w:p w:rsidR="00FD5B89" w:rsidRPr="00C208F7" w:rsidRDefault="00FD5B89" w:rsidP="00FD5B89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r>
        <w:rPr>
          <w:rFonts w:asciiTheme="minorHAnsi" w:hAnsiTheme="minorHAnsi" w:cstheme="minorHAnsi"/>
          <w:b/>
          <w:i/>
          <w:color w:val="2E74B5"/>
        </w:rPr>
        <w:t>Odpowiedź 3a)</w:t>
      </w:r>
    </w:p>
    <w:p w:rsidR="00CF6852" w:rsidRPr="00CF6852" w:rsidRDefault="00CF6852" w:rsidP="00CF6852">
      <w:pPr>
        <w:pStyle w:val="cs3a4479f6"/>
        <w:spacing w:after="0" w:line="276" w:lineRule="auto"/>
        <w:jc w:val="both"/>
        <w:rPr>
          <w:rFonts w:asciiTheme="minorHAnsi" w:hAnsiTheme="minorHAnsi" w:cstheme="minorHAnsi"/>
          <w:color w:val="0070C0"/>
          <w:lang w:val="pl-PL"/>
        </w:rPr>
      </w:pPr>
      <w:r w:rsidRPr="00CF6852">
        <w:rPr>
          <w:rFonts w:asciiTheme="minorHAnsi" w:hAnsiTheme="minorHAnsi" w:cstheme="minorHAnsi"/>
          <w:color w:val="0070C0"/>
          <w:lang w:val="pl-PL"/>
        </w:rPr>
        <w:t>Każdy materiał dopuszczony do wykorzystania na budowie na terenie UE winien posiadać deklaracje właściwości użytkowych oraz zgodności z obowiązującymi normami. Za powyższe odpowiada producent danego materiału.</w:t>
      </w:r>
    </w:p>
    <w:p w:rsidR="00FD5B89" w:rsidRDefault="00340C31" w:rsidP="008244F7">
      <w:pPr>
        <w:spacing w:line="360" w:lineRule="auto"/>
        <w:rPr>
          <w:rFonts w:asciiTheme="minorHAnsi" w:hAnsiTheme="minorHAnsi" w:cstheme="minorHAnsi"/>
          <w:spacing w:val="-8"/>
        </w:rPr>
      </w:pPr>
      <w:r w:rsidRPr="00340C31">
        <w:rPr>
          <w:rFonts w:asciiTheme="minorHAnsi" w:hAnsiTheme="minorHAnsi" w:cstheme="minorHAnsi"/>
          <w:spacing w:val="-8"/>
        </w:rPr>
        <w:br/>
        <w:t xml:space="preserve">4) Brak jest opisów ogólnych lampy i ich wielkości uchwytu i mocowania, jest niedopuszczalne podawanie nazw opraw, powinna być podana charakterystyka i normy minimum powyżej 110 lumenów 1W netto, według zamienników światła sodowego na Led, które mogą ukierunkować wykonawcę i inwestora jakie produkty przedstawić do rzetelnej przygotowanej wyceny dostosowując się do polityki klimatycznej z zachowaniem strategii niskoemisyjnej rozwoju. Oraz wskazanie jego finansowania zgodnie z Rozporządzenie Parlamentu Europejskiego i Rady (UE, </w:t>
      </w:r>
      <w:proofErr w:type="spellStart"/>
      <w:r w:rsidRPr="00340C31">
        <w:rPr>
          <w:rFonts w:asciiTheme="minorHAnsi" w:hAnsiTheme="minorHAnsi" w:cstheme="minorHAnsi"/>
          <w:spacing w:val="-8"/>
        </w:rPr>
        <w:t>Euratom</w:t>
      </w:r>
      <w:proofErr w:type="spellEnd"/>
      <w:r w:rsidRPr="00340C31">
        <w:rPr>
          <w:rFonts w:asciiTheme="minorHAnsi" w:hAnsiTheme="minorHAnsi" w:cstheme="minorHAnsi"/>
          <w:spacing w:val="-8"/>
        </w:rPr>
        <w:t>) 2018/1046 z dnia 18 lipca 2018 r. w sprawie zasad finansowych</w:t>
      </w:r>
      <w:r w:rsidRPr="00340C31">
        <w:rPr>
          <w:rFonts w:asciiTheme="minorHAnsi" w:hAnsiTheme="minorHAnsi" w:cstheme="minorHAnsi"/>
          <w:spacing w:val="-8"/>
        </w:rPr>
        <w:br/>
        <w:t xml:space="preserve">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 w:rsidRPr="00340C31">
        <w:rPr>
          <w:rFonts w:asciiTheme="minorHAnsi" w:hAnsiTheme="minorHAnsi" w:cstheme="minorHAnsi"/>
          <w:spacing w:val="-8"/>
        </w:rPr>
        <w:t>Euratom</w:t>
      </w:r>
      <w:proofErr w:type="spellEnd"/>
      <w:r w:rsidRPr="00340C31">
        <w:rPr>
          <w:rFonts w:asciiTheme="minorHAnsi" w:hAnsiTheme="minorHAnsi" w:cstheme="minorHAnsi"/>
          <w:spacing w:val="-8"/>
        </w:rPr>
        <w:t>) nr 966/2012 (Dz.U. L 193 z 30.7.2018, s. 1). jeśli jest finansowany lub środki będą występowały o zwrot poniesionych nakładów.</w:t>
      </w:r>
    </w:p>
    <w:p w:rsidR="00FD5B89" w:rsidRPr="00CF6852" w:rsidRDefault="00FD5B89" w:rsidP="00FD5B89">
      <w:pPr>
        <w:spacing w:line="360" w:lineRule="auto"/>
        <w:rPr>
          <w:rFonts w:asciiTheme="minorHAnsi" w:hAnsiTheme="minorHAnsi" w:cstheme="minorHAnsi"/>
          <w:b/>
          <w:i/>
          <w:color w:val="0070C0"/>
        </w:rPr>
      </w:pPr>
      <w:r w:rsidRPr="00CF6852">
        <w:rPr>
          <w:rFonts w:asciiTheme="minorHAnsi" w:hAnsiTheme="minorHAnsi" w:cstheme="minorHAnsi"/>
          <w:b/>
          <w:i/>
          <w:color w:val="0070C0"/>
        </w:rPr>
        <w:t>Odpowiedź 4)</w:t>
      </w:r>
    </w:p>
    <w:p w:rsidR="00CF6852" w:rsidRPr="00CF6852" w:rsidRDefault="00CF6852" w:rsidP="00CF6852">
      <w:pPr>
        <w:pStyle w:val="cs3a4479f6"/>
        <w:spacing w:after="0" w:line="276" w:lineRule="auto"/>
        <w:jc w:val="both"/>
        <w:rPr>
          <w:rStyle w:val="cs19a696f91"/>
          <w:rFonts w:asciiTheme="minorHAnsi" w:hAnsiTheme="minorHAnsi" w:cstheme="minorHAnsi"/>
          <w:color w:val="0070C0"/>
          <w:sz w:val="24"/>
          <w:szCs w:val="24"/>
          <w:lang w:val="pl-PL"/>
        </w:rPr>
      </w:pPr>
      <w:r w:rsidRPr="00CF6852">
        <w:rPr>
          <w:rStyle w:val="cs19a696f91"/>
          <w:rFonts w:asciiTheme="minorHAnsi" w:hAnsiTheme="minorHAnsi" w:cstheme="minorHAnsi"/>
          <w:color w:val="0070C0"/>
          <w:sz w:val="24"/>
          <w:szCs w:val="24"/>
          <w:lang w:val="pl-PL"/>
        </w:rPr>
        <w:t>Przytoczone w dokumentacji projektowej rozwiązania są rozwiązaniami przykładowymi. Zamawiający dopuszcza zmianę zaproponowanych materiałów na równoważne lub tożsame, spełniające przytoczone w projekcie normy oraz nie będące gorsze jakościowo od przytoczonych w projekcie. W przypadku zmiany materiału konieczne jest uzyskanie akceptacji Inspektora Nadzoru i Zamawiającego.</w:t>
      </w:r>
    </w:p>
    <w:p w:rsidR="008244F7" w:rsidRPr="00CF6852" w:rsidRDefault="00340C31" w:rsidP="00CF6852">
      <w:pPr>
        <w:pStyle w:val="cs3a4479f6"/>
        <w:spacing w:after="0" w:line="276" w:lineRule="auto"/>
        <w:jc w:val="both"/>
        <w:rPr>
          <w:rFonts w:asciiTheme="minorHAnsi" w:hAnsiTheme="minorHAnsi" w:cstheme="minorHAnsi"/>
          <w:color w:val="7030A0"/>
          <w:sz w:val="21"/>
          <w:szCs w:val="21"/>
          <w:shd w:val="clear" w:color="auto" w:fill="FFFFFF"/>
          <w:lang w:val="pl-PL"/>
        </w:rPr>
      </w:pPr>
      <w:r w:rsidRPr="00340C31">
        <w:rPr>
          <w:rFonts w:asciiTheme="minorHAnsi" w:hAnsiTheme="minorHAnsi" w:cstheme="minorHAnsi"/>
          <w:spacing w:val="-8"/>
        </w:rPr>
        <w:br/>
        <w:t xml:space="preserve">5 ) Czy wszystkie oprawy LED powinny spełniać niezbędne wytyczne zarówno co do sprzętu jak i jego znakowania. Niniejsza informacja zawiera wytyczne dotyczące zasad klasyfikacji sprzętu elektrycznego i elektronicznego zgodnie z ustawą z dnia 29 lipca 2005r. o zużytym sprzęcie elektrycznym i elektronicznym (Dz.U. Nr 180, poz. 1495, Dz. U. z 2008r. Nr 223, poz. 1464 oraz z 2009r. Dz. U. Nr 79. Poz. 666), zwanej dalej ustawą. Przykładowo : Temperatura barwowa emitowanego światła 4000k (+/-100K) o Współczynnik oddawania barw RA większy lub równy 70 o Panel LED . Wyposażony w grupę soczewek kształtujących rozsył światła o charakterze drogowym, która nie oślepia kierowcy i nie powoduje odbicia światła od jezdni . Każda dioda na panelu LED posiada indywidualny element </w:t>
      </w:r>
      <w:r w:rsidRPr="00340C31">
        <w:rPr>
          <w:rFonts w:asciiTheme="minorHAnsi" w:hAnsiTheme="minorHAnsi" w:cstheme="minorHAnsi"/>
          <w:spacing w:val="-8"/>
        </w:rPr>
        <w:lastRenderedPageBreak/>
        <w:t>optyczny o takiej samej charakterystyce. W przepisach przewidziany jest układ redukcji mocy , który powinien być stosowany według przepisów w lampach oświetleniowych, ma umożliwiać płynne nastawienie kilku progów natężenia oświetlenia świetlnego w zakresie co najmniej od 100 -30 % strumienia nominalnego * Temperatura pracy w zakresie -40 + 50 stopni * Efektywność świetlna w zakresie minimum 112 – 115 lm/W netto</w:t>
      </w:r>
    </w:p>
    <w:p w:rsidR="00FD5B89" w:rsidRPr="00C208F7" w:rsidRDefault="00FD5B89" w:rsidP="00FD5B89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r>
        <w:rPr>
          <w:rFonts w:asciiTheme="minorHAnsi" w:hAnsiTheme="minorHAnsi" w:cstheme="minorHAnsi"/>
          <w:b/>
          <w:i/>
          <w:color w:val="2E74B5"/>
        </w:rPr>
        <w:t>Odpowiedź 5)</w:t>
      </w:r>
    </w:p>
    <w:p w:rsidR="00FD5B89" w:rsidRDefault="00CF6852" w:rsidP="008244F7">
      <w:pPr>
        <w:spacing w:line="360" w:lineRule="auto"/>
        <w:rPr>
          <w:rFonts w:asciiTheme="minorHAnsi" w:hAnsiTheme="minorHAnsi" w:cstheme="minorHAnsi"/>
          <w:color w:val="0070C0"/>
          <w:spacing w:val="-8"/>
        </w:rPr>
      </w:pPr>
      <w:r w:rsidRPr="00CF6852">
        <w:rPr>
          <w:rFonts w:asciiTheme="minorHAnsi" w:hAnsiTheme="minorHAnsi" w:cstheme="minorHAnsi"/>
          <w:color w:val="0070C0"/>
          <w:spacing w:val="-8"/>
        </w:rPr>
        <w:t>Wszystkie oprawy LED powinny spełniać niezbędne wytyczne zarówno co do sprzętu jak i jego znakowania.</w:t>
      </w:r>
    </w:p>
    <w:p w:rsidR="00CF6852" w:rsidRPr="00CF6852" w:rsidRDefault="00CF6852" w:rsidP="008244F7">
      <w:pPr>
        <w:spacing w:line="360" w:lineRule="auto"/>
        <w:rPr>
          <w:rFonts w:asciiTheme="minorHAnsi" w:hAnsiTheme="minorHAnsi" w:cstheme="minorHAnsi"/>
          <w:color w:val="0070C0"/>
          <w:spacing w:val="-8"/>
        </w:rPr>
      </w:pPr>
    </w:p>
    <w:p w:rsidR="008244F7" w:rsidRPr="000C3FD8" w:rsidRDefault="008244F7" w:rsidP="008244F7">
      <w:pPr>
        <w:numPr>
          <w:ilvl w:val="0"/>
          <w:numId w:val="41"/>
        </w:numPr>
        <w:spacing w:line="360" w:lineRule="auto"/>
        <w:ind w:left="0" w:hanging="426"/>
        <w:contextualSpacing/>
        <w:rPr>
          <w:rFonts w:asciiTheme="minorHAnsi" w:hAnsiTheme="minorHAnsi" w:cstheme="minorHAnsi"/>
          <w:color w:val="2E74B5"/>
        </w:rPr>
      </w:pPr>
      <w:r w:rsidRPr="00006B22">
        <w:rPr>
          <w:rFonts w:asciiTheme="minorHAnsi" w:hAnsiTheme="minorHAnsi" w:cstheme="minorHAnsi"/>
        </w:rPr>
        <w:t>Powyższe wyjaśnienia nie wymagają dodatkowego czasu na wprowadzenie zmian w ofertach.</w:t>
      </w:r>
    </w:p>
    <w:p w:rsidR="008244F7" w:rsidRPr="003E4640" w:rsidRDefault="008244F7" w:rsidP="008244F7">
      <w:pPr>
        <w:pStyle w:val="Akapitzlist"/>
        <w:numPr>
          <w:ilvl w:val="0"/>
          <w:numId w:val="41"/>
        </w:numPr>
        <w:spacing w:line="360" w:lineRule="auto"/>
        <w:ind w:left="0" w:hanging="426"/>
        <w:rPr>
          <w:rFonts w:asciiTheme="minorHAnsi" w:hAnsiTheme="minorHAnsi" w:cstheme="minorHAnsi"/>
          <w:color w:val="2E74B5"/>
        </w:rPr>
      </w:pPr>
      <w:r w:rsidRPr="00FD4FE2">
        <w:rPr>
          <w:rFonts w:asciiTheme="minorHAnsi" w:hAnsiTheme="minorHAnsi" w:cstheme="minorHAnsi"/>
        </w:rPr>
        <w:t>Wyjaśnienia treści SWZ, stają się obowiązujące dla wszystkich Wykonawców ubiegających się o udzielenie przedmiotowego zamówienia z dniem ich zamieszczenia na stronie internetowej Zamawiającego w miejscu udostępnienia SWZ.</w:t>
      </w:r>
    </w:p>
    <w:p w:rsidR="003E4640" w:rsidRPr="00FD4FE2" w:rsidRDefault="003E4640" w:rsidP="003E4640">
      <w:pPr>
        <w:pStyle w:val="Akapitzlist"/>
        <w:spacing w:line="360" w:lineRule="auto"/>
        <w:ind w:left="0"/>
        <w:rPr>
          <w:rFonts w:asciiTheme="minorHAnsi" w:hAnsiTheme="minorHAnsi" w:cstheme="minorHAnsi"/>
          <w:color w:val="2E74B5"/>
        </w:rPr>
      </w:pPr>
    </w:p>
    <w:p w:rsidR="003E4640" w:rsidRPr="005717A3" w:rsidRDefault="003E4640" w:rsidP="003E4640">
      <w:pPr>
        <w:ind w:left="2832"/>
        <w:jc w:val="center"/>
        <w:rPr>
          <w:rFonts w:asciiTheme="minorHAnsi" w:hAnsiTheme="minorHAnsi" w:cstheme="minorHAnsi"/>
          <w:bCs/>
          <w:snapToGrid w:val="0"/>
          <w:webHidden/>
          <w:sz w:val="22"/>
          <w:szCs w:val="22"/>
        </w:rPr>
      </w:pPr>
    </w:p>
    <w:sectPr w:rsidR="003E4640" w:rsidRPr="005717A3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0A1778"/>
    <w:multiLevelType w:val="hybridMultilevel"/>
    <w:tmpl w:val="F8CC446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AD7B27"/>
    <w:multiLevelType w:val="hybridMultilevel"/>
    <w:tmpl w:val="A40CDA44"/>
    <w:lvl w:ilvl="0" w:tplc="EAFE98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5"/>
  </w:num>
  <w:num w:numId="3">
    <w:abstractNumId w:val="32"/>
  </w:num>
  <w:num w:numId="4">
    <w:abstractNumId w:val="28"/>
  </w:num>
  <w:num w:numId="5">
    <w:abstractNumId w:val="29"/>
  </w:num>
  <w:num w:numId="6">
    <w:abstractNumId w:val="16"/>
  </w:num>
  <w:num w:numId="7">
    <w:abstractNumId w:val="2"/>
  </w:num>
  <w:num w:numId="8">
    <w:abstractNumId w:val="39"/>
  </w:num>
  <w:num w:numId="9">
    <w:abstractNumId w:val="3"/>
  </w:num>
  <w:num w:numId="10">
    <w:abstractNumId w:val="20"/>
  </w:num>
  <w:num w:numId="11">
    <w:abstractNumId w:val="12"/>
  </w:num>
  <w:num w:numId="12">
    <w:abstractNumId w:val="40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8"/>
  </w:num>
  <w:num w:numId="17">
    <w:abstractNumId w:val="30"/>
  </w:num>
  <w:num w:numId="18">
    <w:abstractNumId w:val="5"/>
  </w:num>
  <w:num w:numId="19">
    <w:abstractNumId w:val="21"/>
  </w:num>
  <w:num w:numId="20">
    <w:abstractNumId w:val="11"/>
  </w:num>
  <w:num w:numId="21">
    <w:abstractNumId w:val="26"/>
  </w:num>
  <w:num w:numId="22">
    <w:abstractNumId w:val="34"/>
  </w:num>
  <w:num w:numId="23">
    <w:abstractNumId w:val="8"/>
  </w:num>
  <w:num w:numId="24">
    <w:abstractNumId w:val="4"/>
  </w:num>
  <w:num w:numId="25">
    <w:abstractNumId w:val="9"/>
  </w:num>
  <w:num w:numId="26">
    <w:abstractNumId w:val="19"/>
  </w:num>
  <w:num w:numId="27">
    <w:abstractNumId w:val="36"/>
  </w:num>
  <w:num w:numId="28">
    <w:abstractNumId w:val="6"/>
  </w:num>
  <w:num w:numId="29">
    <w:abstractNumId w:val="25"/>
  </w:num>
  <w:num w:numId="30">
    <w:abstractNumId w:val="7"/>
  </w:num>
  <w:num w:numId="31">
    <w:abstractNumId w:val="22"/>
  </w:num>
  <w:num w:numId="32">
    <w:abstractNumId w:val="1"/>
  </w:num>
  <w:num w:numId="33">
    <w:abstractNumId w:val="31"/>
  </w:num>
  <w:num w:numId="34">
    <w:abstractNumId w:val="18"/>
  </w:num>
  <w:num w:numId="35">
    <w:abstractNumId w:val="13"/>
  </w:num>
  <w:num w:numId="36">
    <w:abstractNumId w:val="37"/>
  </w:num>
  <w:num w:numId="37">
    <w:abstractNumId w:val="23"/>
  </w:num>
  <w:num w:numId="38">
    <w:abstractNumId w:val="15"/>
  </w:num>
  <w:num w:numId="39">
    <w:abstractNumId w:val="17"/>
  </w:num>
  <w:num w:numId="40">
    <w:abstractNumId w:val="14"/>
  </w:num>
  <w:num w:numId="41">
    <w:abstractNumId w:val="24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1E24"/>
    <w:rsid w:val="000048AC"/>
    <w:rsid w:val="00013794"/>
    <w:rsid w:val="00014038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54DA8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B5BEE"/>
    <w:rsid w:val="000C43BF"/>
    <w:rsid w:val="000E4AA2"/>
    <w:rsid w:val="000F07A0"/>
    <w:rsid w:val="000F0E84"/>
    <w:rsid w:val="00116607"/>
    <w:rsid w:val="0012426E"/>
    <w:rsid w:val="00137AAE"/>
    <w:rsid w:val="001455E8"/>
    <w:rsid w:val="001464CE"/>
    <w:rsid w:val="00151EC0"/>
    <w:rsid w:val="0015364B"/>
    <w:rsid w:val="001543D9"/>
    <w:rsid w:val="00154E97"/>
    <w:rsid w:val="00181F09"/>
    <w:rsid w:val="00193062"/>
    <w:rsid w:val="00193A88"/>
    <w:rsid w:val="001A05F6"/>
    <w:rsid w:val="001B42BD"/>
    <w:rsid w:val="001C58A9"/>
    <w:rsid w:val="001D4000"/>
    <w:rsid w:val="001D5B2E"/>
    <w:rsid w:val="001F10DD"/>
    <w:rsid w:val="001F34CC"/>
    <w:rsid w:val="001F4736"/>
    <w:rsid w:val="00200AE2"/>
    <w:rsid w:val="002022AE"/>
    <w:rsid w:val="00213519"/>
    <w:rsid w:val="00216381"/>
    <w:rsid w:val="0022173C"/>
    <w:rsid w:val="00227C7B"/>
    <w:rsid w:val="00235C7B"/>
    <w:rsid w:val="00240155"/>
    <w:rsid w:val="00256471"/>
    <w:rsid w:val="00257FCF"/>
    <w:rsid w:val="00260407"/>
    <w:rsid w:val="00260535"/>
    <w:rsid w:val="00266CE3"/>
    <w:rsid w:val="0027226D"/>
    <w:rsid w:val="002722EB"/>
    <w:rsid w:val="00272497"/>
    <w:rsid w:val="00282EAC"/>
    <w:rsid w:val="00285C43"/>
    <w:rsid w:val="002A32CF"/>
    <w:rsid w:val="002A6FC1"/>
    <w:rsid w:val="002B71EC"/>
    <w:rsid w:val="002C1436"/>
    <w:rsid w:val="002D053C"/>
    <w:rsid w:val="002D1721"/>
    <w:rsid w:val="002D5CA8"/>
    <w:rsid w:val="002E36B5"/>
    <w:rsid w:val="002F1365"/>
    <w:rsid w:val="002F4793"/>
    <w:rsid w:val="0030296E"/>
    <w:rsid w:val="00303ACE"/>
    <w:rsid w:val="00306E6F"/>
    <w:rsid w:val="0032476D"/>
    <w:rsid w:val="00324CEA"/>
    <w:rsid w:val="00326BFC"/>
    <w:rsid w:val="00340C31"/>
    <w:rsid w:val="00351707"/>
    <w:rsid w:val="003720E4"/>
    <w:rsid w:val="00381B78"/>
    <w:rsid w:val="003904F3"/>
    <w:rsid w:val="00392547"/>
    <w:rsid w:val="00396AC6"/>
    <w:rsid w:val="003A2D94"/>
    <w:rsid w:val="003A2DB7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4640"/>
    <w:rsid w:val="003E529B"/>
    <w:rsid w:val="003E5939"/>
    <w:rsid w:val="003F1D14"/>
    <w:rsid w:val="003F747A"/>
    <w:rsid w:val="004048E5"/>
    <w:rsid w:val="0041165F"/>
    <w:rsid w:val="00426928"/>
    <w:rsid w:val="004344DC"/>
    <w:rsid w:val="00442118"/>
    <w:rsid w:val="004423C0"/>
    <w:rsid w:val="00442A7D"/>
    <w:rsid w:val="00443D0C"/>
    <w:rsid w:val="004464F2"/>
    <w:rsid w:val="00447B30"/>
    <w:rsid w:val="0045482C"/>
    <w:rsid w:val="00454A79"/>
    <w:rsid w:val="00462AE3"/>
    <w:rsid w:val="004742D5"/>
    <w:rsid w:val="0047527B"/>
    <w:rsid w:val="00481A3F"/>
    <w:rsid w:val="004A1F28"/>
    <w:rsid w:val="004B130F"/>
    <w:rsid w:val="004B16F4"/>
    <w:rsid w:val="004C7487"/>
    <w:rsid w:val="00503901"/>
    <w:rsid w:val="00506264"/>
    <w:rsid w:val="00513D7C"/>
    <w:rsid w:val="005173B9"/>
    <w:rsid w:val="00522B96"/>
    <w:rsid w:val="00560421"/>
    <w:rsid w:val="005717A3"/>
    <w:rsid w:val="00595F0E"/>
    <w:rsid w:val="005968E6"/>
    <w:rsid w:val="005A5CF3"/>
    <w:rsid w:val="005B3081"/>
    <w:rsid w:val="005C352C"/>
    <w:rsid w:val="005C6EA9"/>
    <w:rsid w:val="005C7FE5"/>
    <w:rsid w:val="005E03AE"/>
    <w:rsid w:val="005E0EDC"/>
    <w:rsid w:val="005F1591"/>
    <w:rsid w:val="00604258"/>
    <w:rsid w:val="00605F66"/>
    <w:rsid w:val="00617EEA"/>
    <w:rsid w:val="00647CF7"/>
    <w:rsid w:val="00654695"/>
    <w:rsid w:val="0066795E"/>
    <w:rsid w:val="00671681"/>
    <w:rsid w:val="00687938"/>
    <w:rsid w:val="0069513B"/>
    <w:rsid w:val="006A0531"/>
    <w:rsid w:val="006B3E89"/>
    <w:rsid w:val="006B55C2"/>
    <w:rsid w:val="006D5E77"/>
    <w:rsid w:val="006E67B8"/>
    <w:rsid w:val="006F6AA5"/>
    <w:rsid w:val="007022B5"/>
    <w:rsid w:val="00713D0C"/>
    <w:rsid w:val="007172E6"/>
    <w:rsid w:val="007212B2"/>
    <w:rsid w:val="007279CB"/>
    <w:rsid w:val="0073051B"/>
    <w:rsid w:val="007320C5"/>
    <w:rsid w:val="0073293A"/>
    <w:rsid w:val="00740207"/>
    <w:rsid w:val="00740E9A"/>
    <w:rsid w:val="00763006"/>
    <w:rsid w:val="007658C1"/>
    <w:rsid w:val="00780C77"/>
    <w:rsid w:val="00786FB3"/>
    <w:rsid w:val="0078729C"/>
    <w:rsid w:val="00791E26"/>
    <w:rsid w:val="00795BD6"/>
    <w:rsid w:val="007A06F4"/>
    <w:rsid w:val="007B0176"/>
    <w:rsid w:val="007B3971"/>
    <w:rsid w:val="007D6EC0"/>
    <w:rsid w:val="008032FE"/>
    <w:rsid w:val="008037E2"/>
    <w:rsid w:val="0081388E"/>
    <w:rsid w:val="00817519"/>
    <w:rsid w:val="008228FF"/>
    <w:rsid w:val="008244F7"/>
    <w:rsid w:val="00824FE6"/>
    <w:rsid w:val="008259A3"/>
    <w:rsid w:val="00833576"/>
    <w:rsid w:val="008449FA"/>
    <w:rsid w:val="00861CEF"/>
    <w:rsid w:val="0089304F"/>
    <w:rsid w:val="00895DFE"/>
    <w:rsid w:val="008A3FD3"/>
    <w:rsid w:val="008A60F2"/>
    <w:rsid w:val="008B63E8"/>
    <w:rsid w:val="008C2F95"/>
    <w:rsid w:val="008D76C7"/>
    <w:rsid w:val="008E4CE9"/>
    <w:rsid w:val="008F2BF1"/>
    <w:rsid w:val="008F2DE1"/>
    <w:rsid w:val="008F5904"/>
    <w:rsid w:val="008F6CF1"/>
    <w:rsid w:val="00917914"/>
    <w:rsid w:val="009216D7"/>
    <w:rsid w:val="0093277A"/>
    <w:rsid w:val="00936479"/>
    <w:rsid w:val="00943D1B"/>
    <w:rsid w:val="009456BD"/>
    <w:rsid w:val="0094587C"/>
    <w:rsid w:val="00956AF2"/>
    <w:rsid w:val="00970417"/>
    <w:rsid w:val="00970C65"/>
    <w:rsid w:val="00972396"/>
    <w:rsid w:val="00974C0A"/>
    <w:rsid w:val="009769DF"/>
    <w:rsid w:val="009819AD"/>
    <w:rsid w:val="00990EE6"/>
    <w:rsid w:val="00996499"/>
    <w:rsid w:val="009A6F31"/>
    <w:rsid w:val="009C6AB1"/>
    <w:rsid w:val="009D1554"/>
    <w:rsid w:val="009D5B53"/>
    <w:rsid w:val="009E10B8"/>
    <w:rsid w:val="009E2782"/>
    <w:rsid w:val="009F43FA"/>
    <w:rsid w:val="009F5A07"/>
    <w:rsid w:val="009F745D"/>
    <w:rsid w:val="00A00F2E"/>
    <w:rsid w:val="00A116A1"/>
    <w:rsid w:val="00A14F65"/>
    <w:rsid w:val="00A2377D"/>
    <w:rsid w:val="00A368D1"/>
    <w:rsid w:val="00A5483B"/>
    <w:rsid w:val="00A613E6"/>
    <w:rsid w:val="00A64520"/>
    <w:rsid w:val="00A70BC8"/>
    <w:rsid w:val="00A81451"/>
    <w:rsid w:val="00A8752D"/>
    <w:rsid w:val="00A9683A"/>
    <w:rsid w:val="00A978BA"/>
    <w:rsid w:val="00AB3DA4"/>
    <w:rsid w:val="00AB5971"/>
    <w:rsid w:val="00AB7805"/>
    <w:rsid w:val="00AD0156"/>
    <w:rsid w:val="00AD14D5"/>
    <w:rsid w:val="00B01D43"/>
    <w:rsid w:val="00B03114"/>
    <w:rsid w:val="00B045E5"/>
    <w:rsid w:val="00B06F83"/>
    <w:rsid w:val="00B136F7"/>
    <w:rsid w:val="00B213D6"/>
    <w:rsid w:val="00B25C89"/>
    <w:rsid w:val="00B34454"/>
    <w:rsid w:val="00B62102"/>
    <w:rsid w:val="00B72943"/>
    <w:rsid w:val="00B729F0"/>
    <w:rsid w:val="00B733E2"/>
    <w:rsid w:val="00B84BF6"/>
    <w:rsid w:val="00BA5188"/>
    <w:rsid w:val="00BB412D"/>
    <w:rsid w:val="00BB4CF5"/>
    <w:rsid w:val="00BD1062"/>
    <w:rsid w:val="00BD409B"/>
    <w:rsid w:val="00BE194A"/>
    <w:rsid w:val="00C060F3"/>
    <w:rsid w:val="00C075AD"/>
    <w:rsid w:val="00C15270"/>
    <w:rsid w:val="00C20E43"/>
    <w:rsid w:val="00C25712"/>
    <w:rsid w:val="00C25C83"/>
    <w:rsid w:val="00C357BF"/>
    <w:rsid w:val="00C547A5"/>
    <w:rsid w:val="00C54B90"/>
    <w:rsid w:val="00C61864"/>
    <w:rsid w:val="00C629A8"/>
    <w:rsid w:val="00C75EE5"/>
    <w:rsid w:val="00C82CB8"/>
    <w:rsid w:val="00C914F9"/>
    <w:rsid w:val="00C9422A"/>
    <w:rsid w:val="00C94D1E"/>
    <w:rsid w:val="00C96CCA"/>
    <w:rsid w:val="00CA1001"/>
    <w:rsid w:val="00CC4BC2"/>
    <w:rsid w:val="00CD153E"/>
    <w:rsid w:val="00CF2328"/>
    <w:rsid w:val="00CF6852"/>
    <w:rsid w:val="00D00040"/>
    <w:rsid w:val="00D00A00"/>
    <w:rsid w:val="00D055F2"/>
    <w:rsid w:val="00D15500"/>
    <w:rsid w:val="00D22974"/>
    <w:rsid w:val="00D520D5"/>
    <w:rsid w:val="00D7024E"/>
    <w:rsid w:val="00D84A6B"/>
    <w:rsid w:val="00D9136C"/>
    <w:rsid w:val="00D947F4"/>
    <w:rsid w:val="00DA6E62"/>
    <w:rsid w:val="00DB6374"/>
    <w:rsid w:val="00DC3699"/>
    <w:rsid w:val="00DC43A0"/>
    <w:rsid w:val="00DD0119"/>
    <w:rsid w:val="00DD282A"/>
    <w:rsid w:val="00DD420C"/>
    <w:rsid w:val="00DF400A"/>
    <w:rsid w:val="00DF62CE"/>
    <w:rsid w:val="00E319BB"/>
    <w:rsid w:val="00E3781D"/>
    <w:rsid w:val="00E43060"/>
    <w:rsid w:val="00E5063A"/>
    <w:rsid w:val="00E53E06"/>
    <w:rsid w:val="00E66AAE"/>
    <w:rsid w:val="00E71660"/>
    <w:rsid w:val="00E85EBB"/>
    <w:rsid w:val="00E908CC"/>
    <w:rsid w:val="00E911E1"/>
    <w:rsid w:val="00E92CE6"/>
    <w:rsid w:val="00EA4BE4"/>
    <w:rsid w:val="00EA52C5"/>
    <w:rsid w:val="00EB69EA"/>
    <w:rsid w:val="00EC3F6B"/>
    <w:rsid w:val="00EE1050"/>
    <w:rsid w:val="00EE1F02"/>
    <w:rsid w:val="00EF4F49"/>
    <w:rsid w:val="00F122E2"/>
    <w:rsid w:val="00F17D23"/>
    <w:rsid w:val="00F17D25"/>
    <w:rsid w:val="00F17E45"/>
    <w:rsid w:val="00F20674"/>
    <w:rsid w:val="00F22298"/>
    <w:rsid w:val="00F373A4"/>
    <w:rsid w:val="00F4363D"/>
    <w:rsid w:val="00F50BDA"/>
    <w:rsid w:val="00F6230A"/>
    <w:rsid w:val="00F6492D"/>
    <w:rsid w:val="00F733CE"/>
    <w:rsid w:val="00F76658"/>
    <w:rsid w:val="00F84185"/>
    <w:rsid w:val="00F91FD3"/>
    <w:rsid w:val="00FA6C0F"/>
    <w:rsid w:val="00FC001D"/>
    <w:rsid w:val="00FC035D"/>
    <w:rsid w:val="00FC42ED"/>
    <w:rsid w:val="00FC4B6F"/>
    <w:rsid w:val="00FD573C"/>
    <w:rsid w:val="00FD5B89"/>
    <w:rsid w:val="00FE2DCD"/>
    <w:rsid w:val="00FE42E3"/>
    <w:rsid w:val="00FF5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1A9A9645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  <w:style w:type="paragraph" w:customStyle="1" w:styleId="Default">
    <w:name w:val="Default"/>
    <w:rsid w:val="00E53E0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DD420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D420C"/>
    <w:rPr>
      <w:lang w:eastAsia="ar-SA"/>
    </w:rPr>
  </w:style>
  <w:style w:type="character" w:styleId="Odwoanieprzypisudolnego">
    <w:name w:val="footnote reference"/>
    <w:basedOn w:val="Domylnaczcionkaakapitu"/>
    <w:rsid w:val="00DD420C"/>
    <w:rPr>
      <w:vertAlign w:val="superscript"/>
    </w:rPr>
  </w:style>
  <w:style w:type="paragraph" w:customStyle="1" w:styleId="dowiadomoci">
    <w:name w:val="do wiadomości"/>
    <w:basedOn w:val="Tekstpodstawowy"/>
    <w:link w:val="dowiadomociZnak"/>
    <w:rsid w:val="008244F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8244F7"/>
    <w:rPr>
      <w:rFonts w:ascii="Arial" w:hAnsi="Arial"/>
    </w:rPr>
  </w:style>
  <w:style w:type="paragraph" w:styleId="NormalnyWeb">
    <w:name w:val="Normal (Web)"/>
    <w:basedOn w:val="Normalny"/>
    <w:uiPriority w:val="99"/>
    <w:rsid w:val="008244F7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cs9d249ccb1">
    <w:name w:val="cs9d249ccb1"/>
    <w:basedOn w:val="Domylnaczcionkaakapitu"/>
    <w:rsid w:val="0045482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72f7c9c51">
    <w:name w:val="cs72f7c9c51"/>
    <w:basedOn w:val="Domylnaczcionkaakapitu"/>
    <w:rsid w:val="0045482C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95e872d0">
    <w:name w:val="cs95e872d0"/>
    <w:basedOn w:val="Normalny"/>
    <w:rsid w:val="003E5939"/>
    <w:pPr>
      <w:suppressAutoHyphens w:val="0"/>
    </w:pPr>
    <w:rPr>
      <w:lang w:eastAsia="pl-PL"/>
    </w:rPr>
  </w:style>
  <w:style w:type="character" w:customStyle="1" w:styleId="Teksttreci10">
    <w:name w:val="Tekst treści (10)_"/>
    <w:basedOn w:val="Domylnaczcionkaakapitu"/>
    <w:link w:val="Teksttreci100"/>
    <w:rsid w:val="00340C31"/>
    <w:rPr>
      <w:rFonts w:ascii="Arial" w:eastAsia="Arial" w:hAnsi="Arial" w:cs="Arial"/>
      <w:i/>
      <w:iCs/>
      <w:sz w:val="15"/>
      <w:szCs w:val="15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340C31"/>
    <w:pPr>
      <w:widowControl w:val="0"/>
      <w:shd w:val="clear" w:color="auto" w:fill="FFFFFF"/>
      <w:suppressAutoHyphens w:val="0"/>
      <w:spacing w:after="80"/>
    </w:pPr>
    <w:rPr>
      <w:rFonts w:ascii="Arial" w:eastAsia="Arial" w:hAnsi="Arial" w:cs="Arial"/>
      <w:i/>
      <w:iCs/>
      <w:sz w:val="15"/>
      <w:szCs w:val="15"/>
      <w:lang w:eastAsia="pl-PL"/>
    </w:rPr>
  </w:style>
  <w:style w:type="paragraph" w:customStyle="1" w:styleId="cs3a4479f6">
    <w:name w:val="cs3a4479f6"/>
    <w:basedOn w:val="Normalny"/>
    <w:rsid w:val="00CF6852"/>
    <w:pPr>
      <w:suppressAutoHyphens w:val="0"/>
      <w:spacing w:after="240"/>
    </w:pPr>
    <w:rPr>
      <w:lang w:val="en-US" w:eastAsia="en-US"/>
    </w:rPr>
  </w:style>
  <w:style w:type="character" w:customStyle="1" w:styleId="cs19a696f91">
    <w:name w:val="cs19a696f91"/>
    <w:basedOn w:val="Domylnaczcionkaakapitu"/>
    <w:rsid w:val="00CF6852"/>
    <w:rPr>
      <w:rFonts w:ascii="Microsoft Sans Serif" w:hAnsi="Microsoft Sans Serif" w:cs="Microsoft Sans Serif" w:hint="default"/>
      <w:b w:val="0"/>
      <w:bCs w:val="0"/>
      <w:i w:val="0"/>
      <w:iCs w:val="0"/>
      <w:color w:val="666666"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75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4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E15835-F100-4145-94FF-2D3DAB130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1019</Words>
  <Characters>6115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7120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5</cp:revision>
  <cp:lastPrinted>2022-09-27T12:31:00Z</cp:lastPrinted>
  <dcterms:created xsi:type="dcterms:W3CDTF">2022-09-19T07:53:00Z</dcterms:created>
  <dcterms:modified xsi:type="dcterms:W3CDTF">2022-09-28T08:30:00Z</dcterms:modified>
</cp:coreProperties>
</file>