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4F0" w:rsidRPr="00CF25B7" w:rsidRDefault="00C264F0" w:rsidP="00C264F0">
      <w:pPr>
        <w:spacing w:line="360" w:lineRule="auto"/>
        <w:jc w:val="both"/>
        <w:rPr>
          <w:b/>
        </w:rPr>
      </w:pPr>
      <w:r w:rsidRPr="00A2512A">
        <w:rPr>
          <w:b/>
          <w:u w:val="single"/>
        </w:rPr>
        <w:t xml:space="preserve">Nr sprawy: </w:t>
      </w:r>
      <w:r w:rsidRPr="00CF25B7">
        <w:rPr>
          <w:b/>
        </w:rPr>
        <w:t xml:space="preserve">  RZP.271.78.2022.ZP3</w:t>
      </w:r>
      <w:r w:rsidRPr="00CF25B7">
        <w:rPr>
          <w:b/>
        </w:rPr>
        <w:tab/>
      </w:r>
      <w:r w:rsidRPr="00CF25B7">
        <w:rPr>
          <w:b/>
        </w:rPr>
        <w:tab/>
      </w:r>
      <w:r w:rsidRPr="00CF25B7">
        <w:rPr>
          <w:b/>
        </w:rPr>
        <w:tab/>
      </w:r>
      <w:r w:rsidRPr="00CF25B7">
        <w:rPr>
          <w:b/>
        </w:rPr>
        <w:tab/>
        <w:t xml:space="preserve">             </w:t>
      </w:r>
    </w:p>
    <w:p w:rsidR="00C264F0" w:rsidRPr="00CF25B7" w:rsidRDefault="00C264F0" w:rsidP="00C264F0">
      <w:pPr>
        <w:spacing w:line="360" w:lineRule="auto"/>
        <w:jc w:val="right"/>
        <w:rPr>
          <w:b/>
        </w:rPr>
      </w:pPr>
      <w:r w:rsidRPr="00CF25B7">
        <w:t xml:space="preserve">Białe Błota, dnia </w:t>
      </w:r>
      <w:r w:rsidR="00185C0D">
        <w:t>12</w:t>
      </w:r>
      <w:bookmarkStart w:id="0" w:name="_GoBack"/>
      <w:bookmarkEnd w:id="0"/>
      <w:r w:rsidRPr="00CF25B7">
        <w:t>.01.2023 r.</w:t>
      </w:r>
    </w:p>
    <w:p w:rsidR="00C264F0" w:rsidRPr="00CF25B7" w:rsidRDefault="00C264F0" w:rsidP="00C264F0">
      <w:pPr>
        <w:spacing w:line="360" w:lineRule="auto"/>
        <w:jc w:val="both"/>
        <w:rPr>
          <w:b/>
        </w:rPr>
      </w:pPr>
    </w:p>
    <w:p w:rsidR="00C264F0" w:rsidRPr="00CF25B7" w:rsidRDefault="00C264F0" w:rsidP="00C264F0">
      <w:pPr>
        <w:spacing w:line="360" w:lineRule="auto"/>
        <w:jc w:val="both"/>
      </w:pPr>
      <w:r w:rsidRPr="00CF25B7">
        <w:t xml:space="preserve">Dotyczy postępowania pn.: </w:t>
      </w:r>
    </w:p>
    <w:p w:rsidR="00C264F0" w:rsidRPr="00CF25B7" w:rsidRDefault="00C264F0" w:rsidP="00C264F0">
      <w:pPr>
        <w:pStyle w:val="Akapitzlist"/>
        <w:spacing w:line="360" w:lineRule="auto"/>
        <w:ind w:left="0"/>
        <w:jc w:val="both"/>
        <w:rPr>
          <w:b/>
        </w:rPr>
      </w:pPr>
      <w:r w:rsidRPr="00CF25B7">
        <w:rPr>
          <w:b/>
        </w:rPr>
        <w:t>Budowa przedszkola wraz z infrastrukturą towarzyszącą przy ul. Kościelnej w Cielu w formule zaprojektuj i wybuduj w ramach zadania pn. „Projekt i budowa przedszkola przy ul. Kościelnej w Cielu”.</w:t>
      </w:r>
    </w:p>
    <w:p w:rsidR="00585E01" w:rsidRPr="00CF25B7" w:rsidRDefault="00585E01" w:rsidP="00C264F0">
      <w:pPr>
        <w:pStyle w:val="Akapitzlist"/>
        <w:spacing w:line="360" w:lineRule="auto"/>
        <w:ind w:left="0"/>
        <w:jc w:val="both"/>
        <w:rPr>
          <w:b/>
        </w:rPr>
      </w:pPr>
    </w:p>
    <w:p w:rsidR="00C264F0" w:rsidRPr="00CF25B7" w:rsidRDefault="00C264F0" w:rsidP="00C264F0">
      <w:pPr>
        <w:pStyle w:val="Akapitzlist"/>
        <w:spacing w:line="360" w:lineRule="auto"/>
        <w:ind w:left="0"/>
        <w:jc w:val="center"/>
        <w:rPr>
          <w:b/>
        </w:rPr>
      </w:pPr>
      <w:r w:rsidRPr="00CF25B7">
        <w:rPr>
          <w:b/>
        </w:rPr>
        <w:t>WYJAŚNIENIA</w:t>
      </w:r>
      <w:r w:rsidR="000A0367" w:rsidRPr="00CF25B7">
        <w:rPr>
          <w:b/>
        </w:rPr>
        <w:t xml:space="preserve"> I ZMIANA TREŚCI  SWZ</w:t>
      </w:r>
    </w:p>
    <w:p w:rsidR="00585E01" w:rsidRPr="00CF25B7" w:rsidRDefault="00585E01" w:rsidP="00C264F0">
      <w:pPr>
        <w:pStyle w:val="Akapitzlist"/>
        <w:spacing w:line="360" w:lineRule="auto"/>
        <w:ind w:left="0"/>
        <w:jc w:val="center"/>
        <w:rPr>
          <w:b/>
        </w:rPr>
      </w:pPr>
    </w:p>
    <w:p w:rsidR="00C264F0" w:rsidRPr="00CF25B7" w:rsidRDefault="00C264F0" w:rsidP="00C264F0">
      <w:pPr>
        <w:pStyle w:val="dowiadomoci"/>
        <w:numPr>
          <w:ilvl w:val="0"/>
          <w:numId w:val="1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CF25B7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CF25B7">
        <w:rPr>
          <w:rFonts w:ascii="Times New Roman" w:hAnsi="Times New Roman"/>
          <w:spacing w:val="-8"/>
          <w:sz w:val="24"/>
          <w:szCs w:val="24"/>
          <w:lang w:eastAsia="ar-SA"/>
        </w:rPr>
        <w:t>Pzp</w:t>
      </w:r>
      <w:proofErr w:type="spellEnd"/>
      <w:r w:rsidRPr="00CF25B7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585E01" w:rsidRPr="00CF25B7" w:rsidRDefault="00585E01" w:rsidP="00585E01">
      <w:pPr>
        <w:pStyle w:val="dowiadomoci"/>
        <w:spacing w:line="360" w:lineRule="auto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</w:p>
    <w:p w:rsidR="00E42228" w:rsidRPr="00CF25B7" w:rsidRDefault="00E42228" w:rsidP="00E42228">
      <w:pPr>
        <w:spacing w:line="360" w:lineRule="auto"/>
        <w:jc w:val="both"/>
        <w:rPr>
          <w:color w:val="FF0000"/>
        </w:rPr>
      </w:pPr>
      <w:r w:rsidRPr="00CF25B7">
        <w:rPr>
          <w:color w:val="FF0000"/>
          <w:highlight w:val="yellow"/>
        </w:rPr>
        <w:t>Pytania- zestaw 9</w:t>
      </w:r>
    </w:p>
    <w:p w:rsidR="00E42228" w:rsidRPr="00CF25B7" w:rsidRDefault="00E42228" w:rsidP="00E42228">
      <w:pPr>
        <w:jc w:val="both"/>
      </w:pPr>
      <w:r w:rsidRPr="00CF25B7">
        <w:rPr>
          <w:b/>
          <w:i/>
          <w:spacing w:val="-8"/>
          <w:lang w:eastAsia="pl-PL"/>
        </w:rPr>
        <w:t>Pytanie 1.</w:t>
      </w:r>
      <w:r w:rsidRPr="00CF25B7">
        <w:t xml:space="preserve"> Proszę o wyjaśnienie w jakim celu w umowie zakładającej wynagrodzenie ryczałtowe wprowadzone zostało postanowienie par. 3 ust. 3 umowy zgodnie z którym „Maksymalna wartość zobowiązania wynosi 102 % wynagrodzenia brutto określonego w § 3 ust. 1, tj. kwotę……….PLN (słownie złotych:………………….).” To postanowienie dotyczy chyba wynagrodzenia kosztorysowego i omyłkowo zostało wklejone do tej umowy. </w:t>
      </w: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1.</w:t>
      </w:r>
    </w:p>
    <w:p w:rsidR="00CD7AE5" w:rsidRPr="00CF25B7" w:rsidRDefault="00CD7AE5" w:rsidP="00CD7AE5">
      <w:pPr>
        <w:autoSpaceDE w:val="0"/>
        <w:autoSpaceDN w:val="0"/>
        <w:adjustRightInd w:val="0"/>
        <w:spacing w:line="360" w:lineRule="auto"/>
        <w:jc w:val="both"/>
        <w:rPr>
          <w:b/>
          <w:i/>
          <w:color w:val="2E74B5"/>
          <w:lang w:eastAsia="pl-PL"/>
        </w:rPr>
      </w:pPr>
      <w:r w:rsidRPr="00CF25B7">
        <w:rPr>
          <w:b/>
          <w:i/>
          <w:color w:val="2E74B5"/>
          <w:lang w:eastAsia="pl-PL"/>
        </w:rPr>
        <w:t xml:space="preserve">Zamawiający wskazuje, iż po etapie projektowym, Wykonawca zobowiązany jest przedstawić kosztorys na podstawie </w:t>
      </w:r>
      <w:r w:rsidR="00585E01" w:rsidRPr="00CF25B7">
        <w:rPr>
          <w:b/>
          <w:i/>
          <w:color w:val="2E74B5"/>
          <w:lang w:eastAsia="pl-PL"/>
        </w:rPr>
        <w:t>którego</w:t>
      </w:r>
      <w:r w:rsidRPr="00CF25B7">
        <w:rPr>
          <w:b/>
          <w:i/>
          <w:color w:val="2E74B5"/>
          <w:lang w:eastAsia="pl-PL"/>
        </w:rPr>
        <w:t xml:space="preserve"> będą wykonywane prace budowalne. </w:t>
      </w:r>
    </w:p>
    <w:p w:rsidR="00E42228" w:rsidRPr="00CF25B7" w:rsidRDefault="00E42228" w:rsidP="00E42228">
      <w:pPr>
        <w:jc w:val="both"/>
      </w:pPr>
    </w:p>
    <w:p w:rsidR="00E42228" w:rsidRPr="00CF25B7" w:rsidRDefault="00E42228" w:rsidP="00E42228">
      <w:pPr>
        <w:spacing w:line="360" w:lineRule="auto"/>
        <w:jc w:val="both"/>
        <w:rPr>
          <w:b/>
          <w:i/>
          <w:spacing w:val="-8"/>
          <w:lang w:eastAsia="pl-PL"/>
        </w:rPr>
      </w:pPr>
      <w:r w:rsidRPr="00CF25B7">
        <w:rPr>
          <w:b/>
          <w:i/>
          <w:spacing w:val="-8"/>
          <w:lang w:eastAsia="pl-PL"/>
        </w:rPr>
        <w:t>Pytanie 2.</w:t>
      </w:r>
    </w:p>
    <w:p w:rsidR="00E42228" w:rsidRPr="00CF25B7" w:rsidRDefault="00E42228" w:rsidP="00E42228">
      <w:pPr>
        <w:jc w:val="both"/>
      </w:pPr>
      <w:r w:rsidRPr="00CF25B7">
        <w:t xml:space="preserve">Postanowienia dotyczące waloryzacji wynagrodzenia par. 3 ust. 8 - 14 są wewnętrznie sprzeczne, błędne redakcyjnie (brak ust. 15) i wymagają wyjaśnienia przez Zamawiającego. W ust. 8 podana została inna podstawa waloryzacji (kwota wynagrodzenia w poprzednim roku kalendarzowym) aniżeli w ust. 9 (kwota wynagrodzenia w poprzednim kwartale). Ponadto, przy założeniu waloryzacji w oparciu o wskaźnik wskazany w ust. 8 niemożliwa będzie waloryzacja wynagrodzenia w sposób opisany w ust. 10 (tj. co 6 miesięcy skoro wskaźnik publikowany jest raz do roku w lutym za rok poprzedni). Reasumując projekt umowy w zakresie waloryzacji skonstruowany jest wadliwie i wymaga modyfikacji. </w:t>
      </w: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2.</w:t>
      </w:r>
    </w:p>
    <w:p w:rsidR="00585E01" w:rsidRPr="00CF25B7" w:rsidRDefault="00585E01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 w:themeColor="accent1" w:themeShade="BF"/>
        </w:rPr>
        <w:t>Zamawiający zmienia zapisy §3 projektu umowy.</w:t>
      </w:r>
      <w:r w:rsidRPr="00CF25B7">
        <w:rPr>
          <w:color w:val="2E74B5" w:themeColor="accent1" w:themeShade="BF"/>
        </w:rPr>
        <w:t xml:space="preserve"> </w:t>
      </w:r>
      <w:r w:rsidRPr="00CF25B7">
        <w:rPr>
          <w:b/>
          <w:i/>
          <w:color w:val="2E74B5"/>
        </w:rPr>
        <w:t>W załączeniu zmieniony „Projekt umowy”.</w:t>
      </w:r>
    </w:p>
    <w:p w:rsidR="00E42228" w:rsidRPr="00CF25B7" w:rsidRDefault="00E42228" w:rsidP="00E42228">
      <w:pPr>
        <w:jc w:val="both"/>
      </w:pPr>
    </w:p>
    <w:p w:rsidR="00585E01" w:rsidRPr="00CF25B7" w:rsidRDefault="00585E01" w:rsidP="00E42228">
      <w:pPr>
        <w:jc w:val="both"/>
      </w:pPr>
    </w:p>
    <w:p w:rsidR="00585E01" w:rsidRPr="00CF25B7" w:rsidRDefault="00585E01" w:rsidP="00E42228">
      <w:pPr>
        <w:jc w:val="both"/>
      </w:pPr>
    </w:p>
    <w:p w:rsidR="00585E01" w:rsidRPr="00CF25B7" w:rsidRDefault="00585E01" w:rsidP="00E42228">
      <w:pPr>
        <w:jc w:val="both"/>
      </w:pPr>
    </w:p>
    <w:p w:rsidR="00585E01" w:rsidRPr="00CF25B7" w:rsidRDefault="00585E01" w:rsidP="00E42228">
      <w:pPr>
        <w:jc w:val="both"/>
      </w:pPr>
    </w:p>
    <w:p w:rsidR="00E42228" w:rsidRPr="00CF25B7" w:rsidRDefault="00E42228" w:rsidP="00E42228">
      <w:pPr>
        <w:spacing w:line="360" w:lineRule="auto"/>
        <w:jc w:val="both"/>
        <w:rPr>
          <w:b/>
          <w:i/>
          <w:spacing w:val="-8"/>
          <w:lang w:eastAsia="pl-PL"/>
        </w:rPr>
      </w:pPr>
      <w:r w:rsidRPr="00CF25B7">
        <w:rPr>
          <w:b/>
          <w:i/>
          <w:spacing w:val="-8"/>
          <w:lang w:eastAsia="pl-PL"/>
        </w:rPr>
        <w:lastRenderedPageBreak/>
        <w:t>Pytanie 3.</w:t>
      </w:r>
    </w:p>
    <w:p w:rsidR="00E42228" w:rsidRPr="00CF25B7" w:rsidRDefault="00E42228" w:rsidP="00E42228">
      <w:pPr>
        <w:jc w:val="both"/>
      </w:pPr>
      <w:r w:rsidRPr="00CF25B7">
        <w:t xml:space="preserve"> Zgodnie z art. 439 ust. 1 ustawy </w:t>
      </w:r>
      <w:proofErr w:type="spellStart"/>
      <w:r w:rsidRPr="00CF25B7">
        <w:t>Pzp</w:t>
      </w:r>
      <w:proofErr w:type="spellEnd"/>
      <w:r w:rsidRPr="00CF25B7">
        <w:t xml:space="preserve">, umowa, której przedmiotem są roboty budowlane lub zawarta na okres dłuższy niż 12 miesięcy, zawiera postanowienia dotyczące zasad wprowadzania zmian wysokości wynagrodzenia należnego wykonawcy w przypadku zmiany ceny materiałów lub kosztów związanych z realizacją zamówienia. Projekt umowy nie przewiduje zasad waloryzacji wynagrodzenia w przypadku zmiany ceny materiałów i w tym zakresie wymaga uzupełnienia. </w:t>
      </w: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3.</w:t>
      </w:r>
    </w:p>
    <w:p w:rsidR="00585E01" w:rsidRPr="00CF25B7" w:rsidRDefault="00585E01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 xml:space="preserve">Zasady waloryzacji zostały określone w </w:t>
      </w:r>
      <w:r w:rsidRPr="00CF25B7">
        <w:rPr>
          <w:b/>
          <w:i/>
          <w:color w:val="2E74B5" w:themeColor="accent1" w:themeShade="BF"/>
        </w:rPr>
        <w:t>§ 3 projektu umowy. W załączeniu zmieniony „Projekt umowy”.</w:t>
      </w:r>
    </w:p>
    <w:p w:rsidR="00C264F0" w:rsidRPr="00CF25B7" w:rsidRDefault="00C264F0" w:rsidP="00E42228">
      <w:pPr>
        <w:jc w:val="both"/>
      </w:pPr>
    </w:p>
    <w:p w:rsidR="00E42228" w:rsidRPr="00CF25B7" w:rsidRDefault="00E42228" w:rsidP="00E42228">
      <w:pPr>
        <w:spacing w:line="360" w:lineRule="auto"/>
        <w:jc w:val="both"/>
        <w:rPr>
          <w:b/>
          <w:i/>
          <w:spacing w:val="-8"/>
          <w:lang w:eastAsia="pl-PL"/>
        </w:rPr>
      </w:pPr>
      <w:r w:rsidRPr="00CF25B7">
        <w:rPr>
          <w:b/>
          <w:i/>
          <w:spacing w:val="-8"/>
          <w:lang w:eastAsia="pl-PL"/>
        </w:rPr>
        <w:t>Pytanie 4.</w:t>
      </w:r>
    </w:p>
    <w:p w:rsidR="00E42228" w:rsidRPr="00CF25B7" w:rsidRDefault="00E42228" w:rsidP="00E42228">
      <w:pPr>
        <w:jc w:val="both"/>
      </w:pPr>
      <w:r w:rsidRPr="00CF25B7">
        <w:t xml:space="preserve">Termin na zgłoszenie uwag do umowy podwykonawczej wynosi aż 14 dni. Procedura akceptacji umów podwykonawczych może więc znacznie wydłużyć realizację. Zwracamy się z prośbą o skrócenie tego terminu do 7 dni. </w:t>
      </w: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4.</w:t>
      </w:r>
    </w:p>
    <w:p w:rsidR="00585E01" w:rsidRPr="00CF25B7" w:rsidRDefault="00585E01" w:rsidP="00585E01">
      <w:pPr>
        <w:autoSpaceDE w:val="0"/>
        <w:autoSpaceDN w:val="0"/>
        <w:adjustRightInd w:val="0"/>
        <w:jc w:val="both"/>
        <w:rPr>
          <w:b/>
          <w:i/>
          <w:color w:val="2E74B5" w:themeColor="accent1" w:themeShade="BF"/>
          <w:lang w:eastAsia="pl-PL"/>
        </w:rPr>
      </w:pPr>
      <w:r w:rsidRPr="00CF25B7">
        <w:rPr>
          <w:b/>
          <w:i/>
          <w:color w:val="2E74B5" w:themeColor="accent1" w:themeShade="BF"/>
          <w:lang w:eastAsia="pl-PL"/>
        </w:rPr>
        <w:t xml:space="preserve">Zamawiający wskazuje, iż termin 14 dni jest terminem instrukcyjnym, a zarazem najdłuższym możliwym terminem z uwagi na procedury i uzyskiwanie poszczególnych opinii </w:t>
      </w:r>
      <w:proofErr w:type="spellStart"/>
      <w:r w:rsidRPr="00CF25B7">
        <w:rPr>
          <w:b/>
          <w:i/>
          <w:color w:val="2E74B5" w:themeColor="accent1" w:themeShade="BF"/>
          <w:lang w:eastAsia="pl-PL"/>
        </w:rPr>
        <w:t>formalno</w:t>
      </w:r>
      <w:proofErr w:type="spellEnd"/>
      <w:r w:rsidRPr="00CF25B7">
        <w:rPr>
          <w:b/>
          <w:i/>
          <w:color w:val="2E74B5" w:themeColor="accent1" w:themeShade="BF"/>
          <w:lang w:eastAsia="pl-PL"/>
        </w:rPr>
        <w:t xml:space="preserve"> –prawnych, a także merytorycznych od osób odpowiedzialnych za realizację u Zamawiającego. </w:t>
      </w:r>
    </w:p>
    <w:p w:rsidR="00585E01" w:rsidRPr="00CF25B7" w:rsidRDefault="00585E01" w:rsidP="00585E01">
      <w:pPr>
        <w:autoSpaceDE w:val="0"/>
        <w:autoSpaceDN w:val="0"/>
        <w:adjustRightInd w:val="0"/>
        <w:jc w:val="both"/>
        <w:rPr>
          <w:lang w:eastAsia="pl-PL"/>
        </w:rPr>
      </w:pPr>
    </w:p>
    <w:p w:rsidR="00E42228" w:rsidRPr="00CF25B7" w:rsidRDefault="00E42228" w:rsidP="00E42228">
      <w:pPr>
        <w:jc w:val="both"/>
      </w:pPr>
    </w:p>
    <w:p w:rsidR="00E42228" w:rsidRPr="00CF25B7" w:rsidRDefault="00E42228" w:rsidP="00E42228">
      <w:pPr>
        <w:spacing w:line="360" w:lineRule="auto"/>
        <w:jc w:val="both"/>
        <w:rPr>
          <w:b/>
          <w:i/>
          <w:spacing w:val="-8"/>
          <w:lang w:eastAsia="pl-PL"/>
        </w:rPr>
      </w:pPr>
      <w:r w:rsidRPr="00CF25B7">
        <w:rPr>
          <w:b/>
          <w:i/>
          <w:spacing w:val="-8"/>
          <w:lang w:eastAsia="pl-PL"/>
        </w:rPr>
        <w:t>Pytanie 5.</w:t>
      </w:r>
    </w:p>
    <w:p w:rsidR="00E42228" w:rsidRPr="00CF25B7" w:rsidRDefault="00E42228" w:rsidP="00E42228">
      <w:pPr>
        <w:jc w:val="both"/>
      </w:pPr>
      <w:r w:rsidRPr="00CF25B7">
        <w:t xml:space="preserve">Zgodnie z Par. 13 ust. 17: „Wykonawca do każdej faktury załączy wykaz osób, wraz z oświadczeniem, że przez okres wykonywania czynności, każda z tych osób była zatrudniona na podstawie umowy o pracę przez Wykonawcę/Podwykonawcę.” Proszę o wyjaśnienie w jakim celu należy składać tego typu oświadczenie i kogo ono ma dotyczyć – wszystkich pracowników, pracowników zaangażowanych w realizację? Brak oświadczenia wstrzymuje płatność wynagrodzenia. </w:t>
      </w: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5.</w:t>
      </w:r>
    </w:p>
    <w:p w:rsidR="00E42228" w:rsidRPr="00CF25B7" w:rsidRDefault="00585E01" w:rsidP="00585E01">
      <w:pPr>
        <w:jc w:val="both"/>
        <w:rPr>
          <w:b/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</w:rPr>
        <w:t xml:space="preserve">Zgodnie z art. 95 ustawy </w:t>
      </w:r>
      <w:proofErr w:type="spellStart"/>
      <w:r w:rsidRPr="00CF25B7">
        <w:rPr>
          <w:b/>
          <w:i/>
          <w:color w:val="2E74B5" w:themeColor="accent1" w:themeShade="BF"/>
        </w:rPr>
        <w:t>Pzp</w:t>
      </w:r>
      <w:proofErr w:type="spellEnd"/>
      <w:r w:rsidRPr="00CF25B7">
        <w:rPr>
          <w:b/>
          <w:i/>
          <w:color w:val="2E74B5" w:themeColor="accent1" w:themeShade="BF"/>
        </w:rPr>
        <w:t xml:space="preserve"> Zamawiający zobowiązany jest do określenia w dokumentach zamówienia na usługi i roboty budowlane wymagań w zakresie zatrudnienia osób wykonujących czynności związane z realizacją zamówienia na podstawie umowy o pracę, sposobu weryfikacji zatrudnienia tych osób oraz określenia uprawnień w zakresie kontroli spełniania przez Wykonawców tych wymagań oraz sankcji z tytułu ich niespełniania.</w:t>
      </w:r>
    </w:p>
    <w:p w:rsidR="00E42228" w:rsidRPr="00CF25B7" w:rsidRDefault="00E42228" w:rsidP="00E42228">
      <w:pPr>
        <w:jc w:val="both"/>
      </w:pPr>
    </w:p>
    <w:p w:rsidR="00E42228" w:rsidRPr="00CF25B7" w:rsidRDefault="00E42228" w:rsidP="00E42228">
      <w:pPr>
        <w:spacing w:line="360" w:lineRule="auto"/>
        <w:jc w:val="both"/>
        <w:rPr>
          <w:b/>
          <w:i/>
          <w:spacing w:val="-8"/>
          <w:lang w:eastAsia="pl-PL"/>
        </w:rPr>
      </w:pPr>
      <w:r w:rsidRPr="00CF25B7">
        <w:rPr>
          <w:b/>
          <w:i/>
          <w:spacing w:val="-8"/>
          <w:lang w:eastAsia="pl-PL"/>
        </w:rPr>
        <w:t>Pytanie 6.</w:t>
      </w:r>
    </w:p>
    <w:p w:rsidR="00E42228" w:rsidRPr="00CF25B7" w:rsidRDefault="00E42228" w:rsidP="00E42228">
      <w:pPr>
        <w:jc w:val="both"/>
      </w:pPr>
      <w:r w:rsidRPr="00CF25B7">
        <w:t xml:space="preserve"> W par. 20 ust. 4 wśród okoliczności uzasadniających zmianę umowy zabrakło ewentualnych robót dodatkowych (są wymienione jedynie zaniechane i zamienne). Postanowienie wymaga uzupełnienia w tym zakresie</w:t>
      </w: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6.</w:t>
      </w:r>
    </w:p>
    <w:p w:rsidR="00E42228" w:rsidRPr="00CF25B7" w:rsidRDefault="00585E01" w:rsidP="00585E01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</w:rPr>
        <w:t xml:space="preserve">Dopuszczalność zmian umowy w przypadku wystąpienia robót dodatkowych wynika wprost z art. 455 ust. 1 pkt. 3 ustawy </w:t>
      </w:r>
      <w:proofErr w:type="spellStart"/>
      <w:r w:rsidRPr="00CF25B7">
        <w:rPr>
          <w:b/>
          <w:i/>
          <w:color w:val="2E74B5" w:themeColor="accent1" w:themeShade="BF"/>
        </w:rPr>
        <w:t>Pzp</w:t>
      </w:r>
      <w:proofErr w:type="spellEnd"/>
      <w:r w:rsidRPr="00CF25B7">
        <w:rPr>
          <w:b/>
          <w:i/>
          <w:color w:val="2E74B5" w:themeColor="accent1" w:themeShade="BF"/>
        </w:rPr>
        <w:t>.</w:t>
      </w:r>
    </w:p>
    <w:p w:rsidR="00E42228" w:rsidRPr="00CF25B7" w:rsidRDefault="00E42228" w:rsidP="00E42228">
      <w:pPr>
        <w:spacing w:line="360" w:lineRule="auto"/>
        <w:jc w:val="both"/>
        <w:rPr>
          <w:color w:val="FF0000"/>
        </w:rPr>
      </w:pPr>
    </w:p>
    <w:p w:rsidR="00585E01" w:rsidRPr="00CF25B7" w:rsidRDefault="00585E01" w:rsidP="00E42228">
      <w:pPr>
        <w:spacing w:line="360" w:lineRule="auto"/>
        <w:jc w:val="both"/>
        <w:rPr>
          <w:color w:val="FF0000"/>
        </w:rPr>
      </w:pPr>
    </w:p>
    <w:p w:rsidR="00E42228" w:rsidRPr="00CF25B7" w:rsidRDefault="00E42228" w:rsidP="00E42228">
      <w:pPr>
        <w:spacing w:line="360" w:lineRule="auto"/>
        <w:jc w:val="both"/>
        <w:rPr>
          <w:color w:val="FF0000"/>
        </w:rPr>
      </w:pPr>
      <w:r w:rsidRPr="00CF25B7">
        <w:rPr>
          <w:color w:val="FF0000"/>
          <w:highlight w:val="yellow"/>
        </w:rPr>
        <w:lastRenderedPageBreak/>
        <w:t>Pytania- zestaw 10</w:t>
      </w:r>
    </w:p>
    <w:p w:rsidR="00E42228" w:rsidRPr="00CF25B7" w:rsidRDefault="00E42228" w:rsidP="00E42228">
      <w:pPr>
        <w:jc w:val="both"/>
      </w:pPr>
      <w:r w:rsidRPr="00CF25B7">
        <w:rPr>
          <w:b/>
          <w:i/>
          <w:spacing w:val="-8"/>
          <w:lang w:eastAsia="pl-PL"/>
        </w:rPr>
        <w:t>Pytanie 1.</w:t>
      </w:r>
      <w:r w:rsidRPr="00CF25B7">
        <w:t xml:space="preserve"> </w:t>
      </w:r>
    </w:p>
    <w:p w:rsidR="00E42228" w:rsidRPr="00CF25B7" w:rsidRDefault="00E42228" w:rsidP="00E42228">
      <w:pPr>
        <w:jc w:val="both"/>
      </w:pPr>
      <w:r w:rsidRPr="00CF25B7">
        <w:t>W związku z bardzo długim czasem oczekiwania na wyceny asortymentu ze wszystkich branż budowlanej, elektrycznej oraz sanitarnej niezbędnego do sporządzenia kosztorysów, proszę o wydłużenie terminu składania ofert o co najmniej 7 dni.</w:t>
      </w: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1.</w:t>
      </w:r>
    </w:p>
    <w:p w:rsidR="00585E01" w:rsidRPr="00CF25B7" w:rsidRDefault="00585E01" w:rsidP="00585E01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Zamawiający informuje, iż zostanie przedłużony termin składania ofert. Szczegóły zostały wskazane w pkt II pisma.</w:t>
      </w:r>
    </w:p>
    <w:p w:rsidR="00E42228" w:rsidRPr="00CF25B7" w:rsidRDefault="00E42228" w:rsidP="00E42228">
      <w:pPr>
        <w:spacing w:line="360" w:lineRule="auto"/>
        <w:jc w:val="both"/>
        <w:rPr>
          <w:color w:val="FF0000"/>
          <w:highlight w:val="yellow"/>
        </w:rPr>
      </w:pPr>
    </w:p>
    <w:p w:rsidR="00E42228" w:rsidRPr="00CF25B7" w:rsidRDefault="00E42228" w:rsidP="00E42228">
      <w:pPr>
        <w:spacing w:line="360" w:lineRule="auto"/>
        <w:jc w:val="both"/>
        <w:rPr>
          <w:color w:val="FF0000"/>
          <w:highlight w:val="yellow"/>
        </w:rPr>
      </w:pPr>
      <w:r w:rsidRPr="00CF25B7">
        <w:rPr>
          <w:color w:val="FF0000"/>
          <w:highlight w:val="yellow"/>
        </w:rPr>
        <w:t>Pytania- zestaw 11</w:t>
      </w:r>
    </w:p>
    <w:p w:rsidR="00E2118C" w:rsidRPr="00CF25B7" w:rsidRDefault="00E42228" w:rsidP="00E2118C">
      <w:pPr>
        <w:spacing w:line="360" w:lineRule="auto"/>
        <w:jc w:val="both"/>
      </w:pPr>
      <w:r w:rsidRPr="00CF25B7">
        <w:rPr>
          <w:b/>
          <w:i/>
          <w:spacing w:val="-8"/>
          <w:lang w:eastAsia="pl-PL"/>
        </w:rPr>
        <w:t>Pytanie 1.</w:t>
      </w:r>
      <w:r w:rsidRPr="00CF25B7">
        <w:t xml:space="preserve"> </w:t>
      </w:r>
    </w:p>
    <w:p w:rsidR="00E2118C" w:rsidRPr="00CF25B7" w:rsidRDefault="00E2118C" w:rsidP="00745AA2">
      <w:pPr>
        <w:spacing w:line="340" w:lineRule="exact"/>
        <w:jc w:val="both"/>
        <w:rPr>
          <w:color w:val="000000"/>
        </w:rPr>
      </w:pPr>
      <w:r w:rsidRPr="00CF25B7">
        <w:rPr>
          <w:color w:val="000000"/>
        </w:rPr>
        <w:t>Proszę o określenie parametrów sufitów podwieszanych z płyt akustycznych?</w:t>
      </w:r>
    </w:p>
    <w:p w:rsidR="00E2118C" w:rsidRPr="00CF25B7" w:rsidRDefault="00E2118C" w:rsidP="00E2118C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1.</w:t>
      </w:r>
    </w:p>
    <w:p w:rsidR="00E42228" w:rsidRPr="00CF25B7" w:rsidRDefault="00DF699A" w:rsidP="00DF699A">
      <w:pPr>
        <w:jc w:val="both"/>
        <w:rPr>
          <w:b/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</w:rPr>
        <w:t xml:space="preserve">Str. 30 PFU: „Sufity akustyczne o klasie pochłaniania dźwięku „A”. Pozostałe parametry dobiera projektant. </w:t>
      </w:r>
    </w:p>
    <w:p w:rsidR="00E2118C" w:rsidRPr="00CF25B7" w:rsidRDefault="00E2118C" w:rsidP="00E42228">
      <w:pPr>
        <w:jc w:val="both"/>
      </w:pPr>
    </w:p>
    <w:p w:rsidR="00E2118C" w:rsidRPr="00CF25B7" w:rsidRDefault="00E2118C" w:rsidP="00E2118C">
      <w:pPr>
        <w:spacing w:line="360" w:lineRule="auto"/>
        <w:jc w:val="both"/>
      </w:pPr>
      <w:r w:rsidRPr="00CF25B7">
        <w:rPr>
          <w:b/>
          <w:i/>
          <w:spacing w:val="-8"/>
          <w:lang w:eastAsia="pl-PL"/>
        </w:rPr>
        <w:t>Pytanie 2.</w:t>
      </w:r>
      <w:r w:rsidRPr="00CF25B7">
        <w:t xml:space="preserve"> </w:t>
      </w:r>
    </w:p>
    <w:p w:rsidR="00E2118C" w:rsidRPr="00CF25B7" w:rsidRDefault="00E2118C" w:rsidP="00E2118C">
      <w:pPr>
        <w:spacing w:line="340" w:lineRule="exact"/>
        <w:jc w:val="both"/>
        <w:rPr>
          <w:color w:val="000000"/>
        </w:rPr>
      </w:pPr>
      <w:r w:rsidRPr="00CF25B7">
        <w:rPr>
          <w:color w:val="000000"/>
        </w:rPr>
        <w:t>Proszę o potwierdzenie, że sufity z płyt akustycznych będą tylko w oddziałach.</w:t>
      </w:r>
    </w:p>
    <w:p w:rsidR="00DF699A" w:rsidRPr="00CF25B7" w:rsidRDefault="00745AA2" w:rsidP="00DF699A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2.</w:t>
      </w:r>
    </w:p>
    <w:p w:rsidR="00DF699A" w:rsidRPr="00CF25B7" w:rsidRDefault="00DF699A" w:rsidP="00DF699A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  <w:lang w:eastAsia="pl-PL"/>
        </w:rPr>
        <w:t xml:space="preserve">Str. 30 PFU „SUFITY”: „Tynk cementowo-wapienny IV kategorii malowany farbą akrylową w pomieszczeniach magazynowych i technicznych, sufity podwieszane systemowe z płyty gipsowo-kartonowych w pomieszczeniach przeznaczonych na czasowy pobyt ludzi: socjalnych, łazienkach i toaletach. </w:t>
      </w:r>
    </w:p>
    <w:p w:rsidR="00DF699A" w:rsidRPr="00CF25B7" w:rsidRDefault="00DF699A" w:rsidP="00DF699A">
      <w:pPr>
        <w:spacing w:before="100" w:beforeAutospacing="1" w:after="100" w:afterAutospacing="1"/>
        <w:jc w:val="both"/>
        <w:rPr>
          <w:b/>
          <w:i/>
          <w:color w:val="2E74B5" w:themeColor="accent1" w:themeShade="BF"/>
          <w:lang w:eastAsia="pl-PL"/>
        </w:rPr>
      </w:pPr>
      <w:r w:rsidRPr="00CF25B7">
        <w:rPr>
          <w:b/>
          <w:bCs/>
          <w:i/>
          <w:color w:val="2E74B5" w:themeColor="accent1" w:themeShade="BF"/>
          <w:u w:val="single"/>
          <w:lang w:eastAsia="pl-PL"/>
        </w:rPr>
        <w:t>W pozostałych pomieszczeniach sufity podwieszane z płyt akustycznych</w:t>
      </w:r>
      <w:r w:rsidRPr="00CF25B7">
        <w:rPr>
          <w:b/>
          <w:i/>
          <w:color w:val="2E74B5" w:themeColor="accent1" w:themeShade="BF"/>
          <w:lang w:eastAsia="pl-PL"/>
        </w:rPr>
        <w:t xml:space="preserve"> na ruszcie systemowym. W pomieszczeniach mokrych sufity należy montować na ruszcie w wykonaniu antykorozyjnym i z płyt odpornych na wilgoć. W sufitach podwieszanych należy montować włazy rewizyjne, oświetlenie oraz wloty i wyloty wentylacji. W sali wielofunkcyjnej i integracji sensorycznej - sufit akustyczny lub inny system pochłaniania dźwięku przeznaczony do pomieszczeń, gdzie pojawia się oddziaływanie mechaniczne. Sufity akustyczne o klasie pochłaniania dźwięku „A” ”.</w:t>
      </w:r>
    </w:p>
    <w:p w:rsidR="00745AA2" w:rsidRPr="00CF25B7" w:rsidRDefault="00745AA2" w:rsidP="00E2118C">
      <w:pPr>
        <w:spacing w:line="340" w:lineRule="exact"/>
        <w:jc w:val="both"/>
        <w:rPr>
          <w:color w:val="000000"/>
        </w:rPr>
      </w:pPr>
    </w:p>
    <w:p w:rsidR="00745AA2" w:rsidRPr="00CF25B7" w:rsidRDefault="00E2118C" w:rsidP="00745AA2">
      <w:pPr>
        <w:spacing w:line="360" w:lineRule="auto"/>
        <w:jc w:val="both"/>
      </w:pPr>
      <w:r w:rsidRPr="00CF25B7">
        <w:rPr>
          <w:b/>
          <w:i/>
          <w:spacing w:val="-8"/>
          <w:lang w:eastAsia="pl-PL"/>
        </w:rPr>
        <w:t>Pytanie 3.</w:t>
      </w:r>
      <w:r w:rsidRPr="00CF25B7">
        <w:t xml:space="preserve"> </w:t>
      </w:r>
    </w:p>
    <w:p w:rsidR="00E2118C" w:rsidRPr="00CF25B7" w:rsidRDefault="00E2118C" w:rsidP="00745AA2">
      <w:pPr>
        <w:spacing w:line="360" w:lineRule="auto"/>
        <w:jc w:val="both"/>
      </w:pPr>
      <w:r w:rsidRPr="00CF25B7">
        <w:rPr>
          <w:color w:val="000000"/>
        </w:rPr>
        <w:t xml:space="preserve">Zwracam się z prośbą o informację jak mają być wykończone schody zewnętrzne? </w:t>
      </w:r>
    </w:p>
    <w:p w:rsidR="00745AA2" w:rsidRPr="00CF25B7" w:rsidRDefault="00745AA2" w:rsidP="00745AA2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3.</w:t>
      </w:r>
    </w:p>
    <w:p w:rsidR="00745AA2" w:rsidRPr="00CF25B7" w:rsidRDefault="008E01B6" w:rsidP="00745AA2">
      <w:pPr>
        <w:spacing w:line="360" w:lineRule="auto"/>
        <w:jc w:val="both"/>
        <w:rPr>
          <w:b/>
          <w:i/>
          <w:color w:val="2E74B5" w:themeColor="accent1" w:themeShade="BF"/>
          <w:spacing w:val="-8"/>
          <w:lang w:eastAsia="pl-PL"/>
        </w:rPr>
      </w:pPr>
      <w:r w:rsidRPr="00CF25B7">
        <w:rPr>
          <w:b/>
          <w:i/>
          <w:color w:val="2E74B5" w:themeColor="accent1" w:themeShade="BF"/>
        </w:rPr>
        <w:t>Schody zewnętrzne wykonać z płyt chodnikowych betonowych gładkich lub płukanych na odpowiedniej podbudowie z kruszyw według projektu wykonawczego.</w:t>
      </w:r>
    </w:p>
    <w:p w:rsidR="008E01B6" w:rsidRPr="00CF25B7" w:rsidRDefault="008E01B6" w:rsidP="00745AA2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8E01B6" w:rsidRPr="00CF25B7" w:rsidRDefault="008E01B6" w:rsidP="00745AA2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8E01B6" w:rsidRPr="00CF25B7" w:rsidRDefault="008E01B6" w:rsidP="00745AA2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745AA2" w:rsidRPr="00CF25B7" w:rsidRDefault="00745AA2" w:rsidP="00745AA2">
      <w:pPr>
        <w:spacing w:line="360" w:lineRule="auto"/>
        <w:jc w:val="both"/>
        <w:rPr>
          <w:b/>
          <w:i/>
          <w:spacing w:val="-8"/>
          <w:lang w:eastAsia="pl-PL"/>
        </w:rPr>
      </w:pPr>
      <w:r w:rsidRPr="00CF25B7">
        <w:rPr>
          <w:b/>
          <w:i/>
          <w:spacing w:val="-8"/>
          <w:lang w:eastAsia="pl-PL"/>
        </w:rPr>
        <w:t>Pytanie 4.</w:t>
      </w:r>
    </w:p>
    <w:p w:rsidR="00E2118C" w:rsidRPr="00CF25B7" w:rsidRDefault="00E2118C" w:rsidP="00745AA2">
      <w:pPr>
        <w:spacing w:line="360" w:lineRule="auto"/>
        <w:jc w:val="both"/>
      </w:pPr>
      <w:r w:rsidRPr="00CF25B7">
        <w:rPr>
          <w:color w:val="000000"/>
        </w:rPr>
        <w:t>Czy w kuchni i zapleczu można zastosować płytki R10 lub R11 zamiast R12?</w:t>
      </w:r>
    </w:p>
    <w:p w:rsidR="00745AA2" w:rsidRPr="00CF25B7" w:rsidRDefault="00745AA2" w:rsidP="00745AA2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4.</w:t>
      </w:r>
    </w:p>
    <w:p w:rsidR="008E01B6" w:rsidRPr="00CF25B7" w:rsidRDefault="008E01B6" w:rsidP="008E01B6">
      <w:pPr>
        <w:rPr>
          <w:b/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</w:rPr>
        <w:t>W kuchni i zapleczu należy zastosować płytki R12.</w:t>
      </w:r>
    </w:p>
    <w:p w:rsidR="00745AA2" w:rsidRPr="00CF25B7" w:rsidRDefault="00745AA2" w:rsidP="00745AA2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745AA2" w:rsidRPr="00CF25B7" w:rsidRDefault="00745AA2" w:rsidP="00745AA2">
      <w:pPr>
        <w:spacing w:line="360" w:lineRule="auto"/>
        <w:jc w:val="both"/>
        <w:rPr>
          <w:b/>
          <w:i/>
          <w:spacing w:val="-8"/>
          <w:lang w:eastAsia="pl-PL"/>
        </w:rPr>
      </w:pPr>
      <w:r w:rsidRPr="00CF25B7">
        <w:rPr>
          <w:b/>
          <w:i/>
          <w:spacing w:val="-8"/>
          <w:lang w:eastAsia="pl-PL"/>
        </w:rPr>
        <w:t xml:space="preserve">Pytanie 5. </w:t>
      </w:r>
    </w:p>
    <w:p w:rsidR="00E2118C" w:rsidRPr="00CF25B7" w:rsidRDefault="00E2118C" w:rsidP="00745AA2">
      <w:pPr>
        <w:spacing w:line="360" w:lineRule="auto"/>
        <w:jc w:val="both"/>
      </w:pPr>
      <w:r w:rsidRPr="00CF25B7">
        <w:rPr>
          <w:color w:val="000000"/>
        </w:rPr>
        <w:t>Proszę o potwierdzenie czy stropodach nad salą wielofunkcyjną ma być też w systemie dachu odwróconego?</w:t>
      </w:r>
    </w:p>
    <w:p w:rsidR="008E01B6" w:rsidRPr="00CF25B7" w:rsidRDefault="00745AA2" w:rsidP="008E01B6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5.</w:t>
      </w:r>
    </w:p>
    <w:p w:rsidR="008E01B6" w:rsidRPr="00CF25B7" w:rsidRDefault="008E01B6" w:rsidP="008E01B6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  <w:lang w:eastAsia="pl-PL"/>
        </w:rPr>
        <w:t>Str. 24 PFU: „W części pomieszczeń wymagających ze względu na funkcjonalność i wysokość projektowanego pomieszczenia rozwiązań, które należy zaprojektować indywidualnie proponuje się pokryć stropodachem opartym na dźwigarach z drewna klejonego. Jest to rozwiązanie optymalne pod względem konstrukcyjnym. Dedykowane pomieszczenia dla takiego rozwiązania to sala wielofunkcyjna.”</w:t>
      </w:r>
    </w:p>
    <w:p w:rsidR="008E01B6" w:rsidRPr="00CF25B7" w:rsidRDefault="008E01B6" w:rsidP="008E01B6">
      <w:pPr>
        <w:spacing w:before="100" w:beforeAutospacing="1" w:after="100" w:afterAutospacing="1"/>
        <w:rPr>
          <w:b/>
          <w:i/>
          <w:color w:val="2E74B5" w:themeColor="accent1" w:themeShade="BF"/>
          <w:lang w:eastAsia="pl-PL"/>
        </w:rPr>
      </w:pPr>
      <w:r w:rsidRPr="00CF25B7">
        <w:rPr>
          <w:b/>
          <w:i/>
          <w:iCs/>
          <w:color w:val="2E74B5" w:themeColor="accent1" w:themeShade="BF"/>
          <w:lang w:eastAsia="pl-PL"/>
        </w:rPr>
        <w:t>Dobór rozwiązania nad salą wielofunkcyjną po stronie projektanta. Nie ma konieczności stosowania tam dachu odwróconego.</w:t>
      </w:r>
    </w:p>
    <w:p w:rsidR="00745AA2" w:rsidRPr="00CF25B7" w:rsidRDefault="00745AA2" w:rsidP="00745AA2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745AA2" w:rsidRPr="00CF25B7" w:rsidRDefault="00745AA2" w:rsidP="00745AA2">
      <w:pPr>
        <w:spacing w:line="360" w:lineRule="auto"/>
        <w:jc w:val="both"/>
      </w:pPr>
      <w:r w:rsidRPr="00CF25B7">
        <w:rPr>
          <w:b/>
          <w:i/>
          <w:spacing w:val="-8"/>
          <w:lang w:eastAsia="pl-PL"/>
        </w:rPr>
        <w:t>Pytanie 6.</w:t>
      </w:r>
      <w:r w:rsidRPr="00CF25B7">
        <w:t xml:space="preserve"> </w:t>
      </w:r>
    </w:p>
    <w:p w:rsidR="00E2118C" w:rsidRPr="00CF25B7" w:rsidRDefault="00745AA2" w:rsidP="00E42228">
      <w:pPr>
        <w:jc w:val="both"/>
        <w:rPr>
          <w:color w:val="000000"/>
        </w:rPr>
      </w:pPr>
      <w:r w:rsidRPr="00CF25B7">
        <w:rPr>
          <w:color w:val="000000"/>
        </w:rPr>
        <w:t>Proszę o uszczegółowienie parametrów drzwi kuchennych i drzwi do zaplecza kuchennego.</w:t>
      </w:r>
    </w:p>
    <w:p w:rsidR="008E01B6" w:rsidRPr="00CF25B7" w:rsidRDefault="00745AA2" w:rsidP="008E01B6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6.</w:t>
      </w:r>
    </w:p>
    <w:p w:rsidR="008E01B6" w:rsidRPr="00CF25B7" w:rsidRDefault="008E01B6" w:rsidP="008E01B6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  <w:lang w:eastAsia="pl-PL"/>
        </w:rPr>
        <w:t>Str. 29 PFU: „Drzwi w pomieszczeniach kuchennych szczelne, o gładkiej powierzchni, dostosowane do zmywania wodą, odporne na wilgoć, obustronnym cokołem z blachy nierdzewnej klejonej do płyty o wysokości min.15cm. Blacha nierdzewna gr. min. 0,8mm INOX. Dodatkowy pas blachy wys. 20 cm na wysokości blatów wózków do transportu posiłków.”</w:t>
      </w:r>
    </w:p>
    <w:p w:rsidR="008E01B6" w:rsidRPr="00CF25B7" w:rsidRDefault="008E01B6" w:rsidP="008E01B6">
      <w:pPr>
        <w:spacing w:before="100" w:beforeAutospacing="1" w:after="100" w:afterAutospacing="1"/>
        <w:rPr>
          <w:b/>
          <w:i/>
          <w:color w:val="2E74B5" w:themeColor="accent1" w:themeShade="BF"/>
          <w:lang w:eastAsia="pl-PL"/>
        </w:rPr>
      </w:pPr>
      <w:r w:rsidRPr="00CF25B7">
        <w:rPr>
          <w:b/>
          <w:i/>
          <w:color w:val="2E74B5" w:themeColor="accent1" w:themeShade="BF"/>
          <w:lang w:eastAsia="pl-PL"/>
        </w:rPr>
        <w:t>Dotyczy także drzwi zaplecza kuchennego.</w:t>
      </w:r>
    </w:p>
    <w:p w:rsidR="00745AA2" w:rsidRPr="00CF25B7" w:rsidRDefault="00745AA2" w:rsidP="00E42228">
      <w:pPr>
        <w:jc w:val="both"/>
      </w:pPr>
    </w:p>
    <w:p w:rsidR="001C4960" w:rsidRPr="00CF25B7" w:rsidRDefault="001C4960" w:rsidP="00E42228">
      <w:pPr>
        <w:jc w:val="both"/>
      </w:pPr>
    </w:p>
    <w:p w:rsidR="001C4960" w:rsidRPr="00CF25B7" w:rsidRDefault="001C4960" w:rsidP="00E42228">
      <w:pPr>
        <w:jc w:val="both"/>
      </w:pPr>
    </w:p>
    <w:p w:rsidR="001C4960" w:rsidRPr="00CF25B7" w:rsidRDefault="001C4960" w:rsidP="00E42228">
      <w:pPr>
        <w:jc w:val="both"/>
      </w:pPr>
    </w:p>
    <w:p w:rsidR="001C4960" w:rsidRPr="00CF25B7" w:rsidRDefault="001C4960" w:rsidP="00E42228">
      <w:pPr>
        <w:jc w:val="both"/>
      </w:pPr>
    </w:p>
    <w:p w:rsidR="001C4960" w:rsidRPr="00CF25B7" w:rsidRDefault="001C4960" w:rsidP="00E42228">
      <w:pPr>
        <w:jc w:val="both"/>
      </w:pPr>
    </w:p>
    <w:p w:rsidR="001C4960" w:rsidRPr="00CF25B7" w:rsidRDefault="001C4960" w:rsidP="00E42228">
      <w:pPr>
        <w:jc w:val="both"/>
      </w:pPr>
    </w:p>
    <w:p w:rsidR="00E2118C" w:rsidRPr="00CF25B7" w:rsidRDefault="00E2118C" w:rsidP="00E42228">
      <w:pPr>
        <w:jc w:val="both"/>
      </w:pPr>
    </w:p>
    <w:p w:rsidR="00E2118C" w:rsidRPr="00CF25B7" w:rsidRDefault="00E2118C" w:rsidP="00E2118C">
      <w:pPr>
        <w:spacing w:line="360" w:lineRule="auto"/>
        <w:jc w:val="both"/>
        <w:rPr>
          <w:color w:val="FF0000"/>
          <w:highlight w:val="yellow"/>
        </w:rPr>
      </w:pPr>
      <w:r w:rsidRPr="00CF25B7">
        <w:rPr>
          <w:color w:val="FF0000"/>
          <w:highlight w:val="yellow"/>
        </w:rPr>
        <w:lastRenderedPageBreak/>
        <w:t>Pytania- zestaw 12</w:t>
      </w:r>
    </w:p>
    <w:p w:rsidR="00E2118C" w:rsidRPr="00CF25B7" w:rsidRDefault="00E2118C" w:rsidP="00E2118C">
      <w:pPr>
        <w:jc w:val="both"/>
      </w:pPr>
      <w:r w:rsidRPr="00CF25B7">
        <w:rPr>
          <w:b/>
          <w:i/>
          <w:spacing w:val="-8"/>
          <w:lang w:eastAsia="pl-PL"/>
        </w:rPr>
        <w:t>Pytanie 1.</w:t>
      </w:r>
      <w:r w:rsidRPr="00CF25B7">
        <w:t xml:space="preserve"> </w:t>
      </w:r>
    </w:p>
    <w:p w:rsidR="00E42228" w:rsidRPr="00CF25B7" w:rsidRDefault="00E42228" w:rsidP="00E42228">
      <w:pPr>
        <w:suppressAutoHyphens w:val="0"/>
        <w:spacing w:after="160"/>
        <w:jc w:val="both"/>
      </w:pPr>
      <w:r w:rsidRPr="00CF25B7">
        <w:t>Zgodnie z zapisami SWZ oraz Opisem Przedmiotu Zamówienia w zakresie realizacji robót budowlanych jest wykonanie technologii kuchni. W Progra</w:t>
      </w:r>
      <w:r w:rsidR="00E2118C" w:rsidRPr="00CF25B7">
        <w:t>mie Funkcjonalno-Użytkowym jest</w:t>
      </w:r>
      <w:r w:rsidRPr="00CF25B7">
        <w:t>:</w:t>
      </w:r>
    </w:p>
    <w:p w:rsidR="00E42228" w:rsidRPr="00CF25B7" w:rsidRDefault="00E42228" w:rsidP="00E42228">
      <w:pPr>
        <w:autoSpaceDE w:val="0"/>
        <w:autoSpaceDN w:val="0"/>
        <w:adjustRightInd w:val="0"/>
        <w:jc w:val="both"/>
        <w:rPr>
          <w:i/>
          <w:iCs/>
        </w:rPr>
      </w:pPr>
      <w:r w:rsidRPr="00CF25B7">
        <w:rPr>
          <w:i/>
          <w:iCs/>
        </w:rPr>
        <w:t>„UWAGA:</w:t>
      </w:r>
    </w:p>
    <w:p w:rsidR="00E42228" w:rsidRPr="00CF25B7" w:rsidRDefault="00E42228" w:rsidP="00E42228">
      <w:pPr>
        <w:autoSpaceDE w:val="0"/>
        <w:autoSpaceDN w:val="0"/>
        <w:adjustRightInd w:val="0"/>
        <w:jc w:val="both"/>
        <w:rPr>
          <w:i/>
          <w:iCs/>
        </w:rPr>
      </w:pPr>
      <w:r w:rsidRPr="00CF25B7">
        <w:rPr>
          <w:i/>
          <w:iCs/>
        </w:rPr>
        <w:t>Wyposażenie technologiczne kuchni i zaplecza według projektu technologicznego – według odrębnego postępowania, oprócz wyposażenia wskazanego w PFU do wykonania. Wyposażenie ruchome (meble, dywany, wyposażenie sportowe itp.) według projektu aranżacji wnętrz według odrębnego postępowania, chyba że w PFU wskazano inaczej. Realizacja mini boiska, górki saneczkowej oraz ogródka warzywnego według odrębnego postępowania.”</w:t>
      </w:r>
    </w:p>
    <w:p w:rsidR="00E42228" w:rsidRPr="00CF25B7" w:rsidRDefault="00E42228" w:rsidP="00E42228">
      <w:pPr>
        <w:autoSpaceDE w:val="0"/>
        <w:autoSpaceDN w:val="0"/>
        <w:adjustRightInd w:val="0"/>
        <w:jc w:val="both"/>
        <w:rPr>
          <w:i/>
          <w:iCs/>
        </w:rPr>
      </w:pPr>
    </w:p>
    <w:p w:rsidR="00E42228" w:rsidRPr="00CF25B7" w:rsidRDefault="00E42228" w:rsidP="00E42228">
      <w:pPr>
        <w:jc w:val="both"/>
      </w:pPr>
      <w:r w:rsidRPr="00CF25B7">
        <w:t>Prosimy o jednoznaczną odpowiedź czy w zakres zamówienia wchodzi dostawa</w:t>
      </w:r>
      <w:r w:rsidRPr="00CF25B7">
        <w:br/>
        <w:t>i montaż technologii kuchni? Jeżeli tak, to prosimy o uzupełnienie Programu Funkcjonalno-Użytkowego o jej opis.</w:t>
      </w:r>
    </w:p>
    <w:p w:rsidR="00E42228" w:rsidRPr="00CF25B7" w:rsidRDefault="00E42228" w:rsidP="00E42228">
      <w:pPr>
        <w:jc w:val="both"/>
      </w:pP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1.</w:t>
      </w:r>
    </w:p>
    <w:p w:rsidR="00745AA2" w:rsidRPr="00CF25B7" w:rsidRDefault="001C4960" w:rsidP="00E42228">
      <w:pPr>
        <w:jc w:val="both"/>
        <w:rPr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</w:rPr>
        <w:t>Zgodnie z Opisem Przedmiotu Zamówienia należy zaprojektować oraz wyposażyć technologię kuchni według obowiązujących norm w zakresie technologii kuchni gastronomicznej w budynku oświatowym (przedszkolu) z przewidzianą wydajnością dla 375 dzieci.</w:t>
      </w:r>
    </w:p>
    <w:p w:rsidR="00745AA2" w:rsidRPr="00CF25B7" w:rsidRDefault="00745AA2" w:rsidP="00E42228">
      <w:pPr>
        <w:jc w:val="both"/>
      </w:pPr>
    </w:p>
    <w:p w:rsidR="00745AA2" w:rsidRPr="00CF25B7" w:rsidRDefault="00745AA2" w:rsidP="00E42228">
      <w:pPr>
        <w:jc w:val="both"/>
      </w:pPr>
    </w:p>
    <w:p w:rsidR="00E42228" w:rsidRPr="00CF25B7" w:rsidRDefault="00E42228" w:rsidP="00E42228">
      <w:pPr>
        <w:spacing w:line="360" w:lineRule="auto"/>
        <w:jc w:val="both"/>
        <w:rPr>
          <w:b/>
          <w:i/>
          <w:spacing w:val="-8"/>
          <w:lang w:eastAsia="pl-PL"/>
        </w:rPr>
      </w:pPr>
      <w:r w:rsidRPr="00CF25B7">
        <w:rPr>
          <w:b/>
          <w:i/>
          <w:spacing w:val="-8"/>
          <w:lang w:eastAsia="pl-PL"/>
        </w:rPr>
        <w:t>Pytanie 2.</w:t>
      </w:r>
    </w:p>
    <w:p w:rsidR="00E42228" w:rsidRPr="00CF25B7" w:rsidRDefault="00E42228" w:rsidP="00E42228">
      <w:pPr>
        <w:suppressAutoHyphens w:val="0"/>
        <w:spacing w:after="160"/>
        <w:jc w:val="both"/>
      </w:pPr>
      <w:r w:rsidRPr="00CF25B7">
        <w:t xml:space="preserve">Prosimy o potwierdzenie, że w zakres zamówienia nie wchodzi wykonanie mini boiska, górki saneczkowej oraz ogródka warzywnego. W przeciwnym razie prosimy </w:t>
      </w:r>
      <w:r w:rsidRPr="00CF25B7">
        <w:br/>
        <w:t>o uzupełnienie Programu Funkcjonalno-Użytkowego o opis tych elementów.</w:t>
      </w: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2.</w:t>
      </w:r>
    </w:p>
    <w:p w:rsidR="001C4960" w:rsidRPr="00CF25B7" w:rsidRDefault="001C4960" w:rsidP="001C4960">
      <w:pPr>
        <w:jc w:val="both"/>
        <w:rPr>
          <w:b/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</w:rPr>
        <w:t>W ramach inwestycji należy zaprojektować ww. elementy zagospodarowania terenu tj. górkę saneczkową, ogródek warzywny oraz mini boisko, natomiast wspomniane elementy nie wchodzą w zakres budowy I etapu.</w:t>
      </w:r>
    </w:p>
    <w:p w:rsidR="00E42228" w:rsidRPr="00CF25B7" w:rsidRDefault="00E42228" w:rsidP="00E42228">
      <w:pPr>
        <w:pStyle w:val="Akapitzlist"/>
        <w:jc w:val="both"/>
      </w:pPr>
    </w:p>
    <w:p w:rsidR="00E42228" w:rsidRPr="00CF25B7" w:rsidRDefault="00E42228" w:rsidP="00E42228">
      <w:pPr>
        <w:spacing w:line="360" w:lineRule="auto"/>
        <w:jc w:val="both"/>
        <w:rPr>
          <w:b/>
          <w:i/>
          <w:spacing w:val="-8"/>
          <w:lang w:eastAsia="pl-PL"/>
        </w:rPr>
      </w:pPr>
      <w:r w:rsidRPr="00CF25B7">
        <w:rPr>
          <w:b/>
          <w:i/>
          <w:spacing w:val="-8"/>
          <w:lang w:eastAsia="pl-PL"/>
        </w:rPr>
        <w:t>Pytanie 3.</w:t>
      </w:r>
    </w:p>
    <w:p w:rsidR="00E42228" w:rsidRPr="00CF25B7" w:rsidRDefault="00E42228" w:rsidP="00E42228">
      <w:pPr>
        <w:suppressAutoHyphens w:val="0"/>
        <w:spacing w:after="160"/>
        <w:jc w:val="both"/>
      </w:pPr>
      <w:r w:rsidRPr="00CF25B7">
        <w:t xml:space="preserve">Prosimy o potwierdzenie, że w zakres zamówienia nie wchodzi wyposażenie ruchome (meble, dywany, wyposażenie sportowe). W przeciwnym razie prosimy </w:t>
      </w:r>
      <w:r w:rsidRPr="00CF25B7">
        <w:br/>
        <w:t>o uzupełnienie Programu Funkcjonalno-Użytkowego o opis tych elementów.</w:t>
      </w:r>
    </w:p>
    <w:p w:rsidR="00E42228" w:rsidRPr="00CF25B7" w:rsidRDefault="00E42228" w:rsidP="00E42228">
      <w:pPr>
        <w:spacing w:line="360" w:lineRule="auto"/>
        <w:jc w:val="both"/>
        <w:rPr>
          <w:b/>
          <w:i/>
          <w:color w:val="2E74B5"/>
        </w:rPr>
      </w:pPr>
      <w:r w:rsidRPr="00CF25B7">
        <w:rPr>
          <w:b/>
          <w:i/>
          <w:color w:val="2E74B5"/>
        </w:rPr>
        <w:t>Odpowiedź 3.</w:t>
      </w:r>
    </w:p>
    <w:p w:rsidR="001C4960" w:rsidRPr="00CF25B7" w:rsidRDefault="001C4960" w:rsidP="001C4960">
      <w:pPr>
        <w:jc w:val="both"/>
        <w:rPr>
          <w:b/>
          <w:i/>
          <w:color w:val="2E74B5" w:themeColor="accent1" w:themeShade="BF"/>
        </w:rPr>
      </w:pPr>
      <w:r w:rsidRPr="00CF25B7">
        <w:rPr>
          <w:b/>
          <w:i/>
          <w:color w:val="2E74B5" w:themeColor="accent1" w:themeShade="BF"/>
        </w:rPr>
        <w:t>Zamawiający potwierdza, że w zakres zamówienia nie wchodzi wyposażenie ruchome (meble, dywany, wyposażenie sportowe).</w:t>
      </w:r>
    </w:p>
    <w:p w:rsidR="00E42228" w:rsidRPr="00CF25B7" w:rsidRDefault="00E42228" w:rsidP="00E42228">
      <w:pPr>
        <w:spacing w:line="360" w:lineRule="auto"/>
        <w:jc w:val="both"/>
        <w:rPr>
          <w:color w:val="FF0000"/>
          <w:highlight w:val="yellow"/>
        </w:rPr>
      </w:pPr>
    </w:p>
    <w:p w:rsidR="00DB60A0" w:rsidRPr="00CF25B7" w:rsidRDefault="00DB60A0" w:rsidP="002A26A7">
      <w:pPr>
        <w:spacing w:line="360" w:lineRule="auto"/>
        <w:jc w:val="both"/>
        <w:rPr>
          <w:b/>
          <w:i/>
          <w:color w:val="2E74B5"/>
        </w:rPr>
      </w:pPr>
    </w:p>
    <w:p w:rsidR="00842B54" w:rsidRPr="00CF25B7" w:rsidRDefault="00842B54" w:rsidP="002A26A7">
      <w:pPr>
        <w:pStyle w:val="Akapitzlist"/>
        <w:numPr>
          <w:ilvl w:val="0"/>
          <w:numId w:val="1"/>
        </w:numPr>
        <w:suppressAutoHyphens w:val="0"/>
        <w:spacing w:line="360" w:lineRule="auto"/>
        <w:ind w:left="0" w:hanging="426"/>
        <w:jc w:val="both"/>
      </w:pPr>
      <w:r w:rsidRPr="00CF25B7">
        <w:t xml:space="preserve">Ponadto, działając w trybie art. 286 ust. 3 ustawy </w:t>
      </w:r>
      <w:proofErr w:type="spellStart"/>
      <w:r w:rsidRPr="00CF25B7">
        <w:t>Pzp</w:t>
      </w:r>
      <w:proofErr w:type="spellEnd"/>
      <w:r w:rsidRPr="00CF25B7">
        <w:t>,</w:t>
      </w:r>
      <w:r w:rsidRPr="00600B4E">
        <w:t xml:space="preserve"> </w:t>
      </w:r>
      <w:r w:rsidRPr="00600B4E">
        <w:rPr>
          <w:b/>
          <w:highlight w:val="red"/>
        </w:rPr>
        <w:t xml:space="preserve">Zamawiający przedłuża termin składania ofert do dnia </w:t>
      </w:r>
      <w:r w:rsidR="003A0276" w:rsidRPr="00600B4E">
        <w:rPr>
          <w:b/>
          <w:highlight w:val="red"/>
        </w:rPr>
        <w:t>24.01.2023</w:t>
      </w:r>
      <w:r w:rsidRPr="00600B4E">
        <w:rPr>
          <w:b/>
          <w:highlight w:val="red"/>
        </w:rPr>
        <w:t xml:space="preserve"> r., godz.: 10:00</w:t>
      </w:r>
      <w:r w:rsidRPr="00600B4E">
        <w:t xml:space="preserve"> </w:t>
      </w:r>
      <w:r w:rsidRPr="00CF25B7">
        <w:t xml:space="preserve">i jednocześnie na podstawie art. 286 ust. 1 ustawy </w:t>
      </w:r>
      <w:proofErr w:type="spellStart"/>
      <w:r w:rsidRPr="00CF25B7">
        <w:t>Pzp</w:t>
      </w:r>
      <w:proofErr w:type="spellEnd"/>
      <w:r w:rsidRPr="00CF25B7">
        <w:t>, zmienia w tym zakresie odpowiednie zapisy SWZ zawarte w pkt.: 17.2, 17.7 i 18.1, tj.:</w:t>
      </w:r>
    </w:p>
    <w:p w:rsidR="00842B54" w:rsidRPr="00CF25B7" w:rsidRDefault="00842B54" w:rsidP="002A26A7">
      <w:pPr>
        <w:pStyle w:val="Akapitzlist"/>
        <w:suppressAutoHyphens w:val="0"/>
        <w:spacing w:line="360" w:lineRule="auto"/>
        <w:ind w:left="142"/>
        <w:jc w:val="both"/>
        <w:rPr>
          <w:b/>
          <w:u w:val="single"/>
        </w:rPr>
      </w:pPr>
      <w:r w:rsidRPr="00CF25B7">
        <w:rPr>
          <w:b/>
          <w:u w:val="single"/>
        </w:rPr>
        <w:lastRenderedPageBreak/>
        <w:t>W pkt 17.2 SWZ</w:t>
      </w:r>
    </w:p>
    <w:p w:rsidR="00842B54" w:rsidRPr="00CF25B7" w:rsidRDefault="00842B54" w:rsidP="002A26A7">
      <w:pPr>
        <w:pStyle w:val="Akapitzlist"/>
        <w:suppressAutoHyphens w:val="0"/>
        <w:spacing w:line="360" w:lineRule="auto"/>
        <w:ind w:left="142"/>
        <w:jc w:val="both"/>
      </w:pPr>
      <w:r w:rsidRPr="00CF25B7">
        <w:t xml:space="preserve">Zapis : „17.2. Termin składania ofert: do dnia </w:t>
      </w:r>
      <w:r w:rsidR="003A0276" w:rsidRPr="00CF25B7">
        <w:t>17.01.2023</w:t>
      </w:r>
      <w:r w:rsidRPr="00CF25B7">
        <w:t xml:space="preserve"> r. do godziny 10:00.”</w:t>
      </w:r>
    </w:p>
    <w:p w:rsidR="00842B54" w:rsidRPr="00CF25B7" w:rsidRDefault="00842B54" w:rsidP="002A26A7">
      <w:pPr>
        <w:pStyle w:val="Akapitzlist"/>
        <w:suppressAutoHyphens w:val="0"/>
        <w:spacing w:line="360" w:lineRule="auto"/>
        <w:ind w:left="142"/>
        <w:jc w:val="both"/>
        <w:rPr>
          <w:i/>
        </w:rPr>
      </w:pPr>
      <w:r w:rsidRPr="00CF25B7">
        <w:rPr>
          <w:i/>
        </w:rPr>
        <w:t>otrzymuje brzmienie:</w:t>
      </w:r>
    </w:p>
    <w:p w:rsidR="00842B54" w:rsidRPr="00CF25B7" w:rsidRDefault="00842B54" w:rsidP="002A26A7">
      <w:pPr>
        <w:pStyle w:val="Akapitzlist"/>
        <w:suppressAutoHyphens w:val="0"/>
        <w:spacing w:line="360" w:lineRule="auto"/>
        <w:ind w:left="142"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„17.2. Termin składania ofert: do dnia </w:t>
      </w:r>
      <w:r w:rsidR="006457A5" w:rsidRPr="00CF25B7">
        <w:rPr>
          <w:color w:val="2E74B5" w:themeColor="accent1" w:themeShade="BF"/>
        </w:rPr>
        <w:t>24.01.2023</w:t>
      </w:r>
      <w:r w:rsidRPr="00CF25B7">
        <w:rPr>
          <w:color w:val="2E74B5" w:themeColor="accent1" w:themeShade="BF"/>
        </w:rPr>
        <w:t xml:space="preserve"> r. do godziny 10:00.”;</w:t>
      </w:r>
    </w:p>
    <w:p w:rsidR="00842B54" w:rsidRPr="00CF25B7" w:rsidRDefault="00842B54" w:rsidP="002A26A7">
      <w:pPr>
        <w:pStyle w:val="Akapitzlist"/>
        <w:suppressAutoHyphens w:val="0"/>
        <w:spacing w:line="360" w:lineRule="auto"/>
        <w:ind w:left="142"/>
        <w:jc w:val="both"/>
        <w:rPr>
          <w:b/>
          <w:u w:val="single"/>
        </w:rPr>
      </w:pPr>
      <w:r w:rsidRPr="00CF25B7">
        <w:rPr>
          <w:b/>
          <w:u w:val="single"/>
        </w:rPr>
        <w:t>W pkt 17.7 SWZ</w:t>
      </w:r>
    </w:p>
    <w:p w:rsidR="00842B54" w:rsidRPr="00CF25B7" w:rsidRDefault="00842B54" w:rsidP="002A26A7">
      <w:pPr>
        <w:pStyle w:val="Akapitzlist"/>
        <w:suppressAutoHyphens w:val="0"/>
        <w:spacing w:line="360" w:lineRule="auto"/>
        <w:ind w:left="142"/>
        <w:jc w:val="both"/>
        <w:rPr>
          <w:spacing w:val="-20"/>
        </w:rPr>
      </w:pPr>
      <w:r w:rsidRPr="00CF25B7">
        <w:rPr>
          <w:spacing w:val="-20"/>
        </w:rPr>
        <w:t xml:space="preserve">Zapis: „17.7. Otwarcie ofert jest jawne i nastąpi poprzez automatyczne odszyfrowanie ofert za pośrednictwem platformy zakupowej w dniu </w:t>
      </w:r>
      <w:r w:rsidR="003A0276" w:rsidRPr="00CF25B7">
        <w:rPr>
          <w:spacing w:val="-20"/>
        </w:rPr>
        <w:t>17.01.2023 roku o godzinie 10:15</w:t>
      </w:r>
      <w:r w:rsidRPr="00CF25B7">
        <w:rPr>
          <w:spacing w:val="-20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842B54" w:rsidRPr="00CF25B7" w:rsidRDefault="00842B54" w:rsidP="002A26A7">
      <w:pPr>
        <w:pStyle w:val="Akapitzlist"/>
        <w:suppressAutoHyphens w:val="0"/>
        <w:spacing w:line="360" w:lineRule="auto"/>
        <w:ind w:left="142"/>
        <w:jc w:val="both"/>
        <w:rPr>
          <w:i/>
        </w:rPr>
      </w:pPr>
      <w:r w:rsidRPr="00CF25B7">
        <w:rPr>
          <w:i/>
        </w:rPr>
        <w:t>otrzymuje brzmienie:</w:t>
      </w:r>
    </w:p>
    <w:p w:rsidR="00842B54" w:rsidRPr="00CF25B7" w:rsidRDefault="00842B54" w:rsidP="002A26A7">
      <w:pPr>
        <w:pStyle w:val="Akapitzlist"/>
        <w:suppressAutoHyphens w:val="0"/>
        <w:spacing w:line="360" w:lineRule="auto"/>
        <w:ind w:left="142"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940860" w:rsidRPr="00CF25B7">
        <w:rPr>
          <w:color w:val="2E74B5" w:themeColor="accent1" w:themeShade="BF"/>
        </w:rPr>
        <w:t>24.01.2023 roku o godzinie 10:15</w:t>
      </w:r>
      <w:r w:rsidRPr="00CF25B7">
        <w:rPr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842B54" w:rsidRPr="00CF25B7" w:rsidRDefault="00842B54" w:rsidP="002A26A7">
      <w:pPr>
        <w:suppressAutoHyphens w:val="0"/>
        <w:spacing w:line="360" w:lineRule="auto"/>
        <w:ind w:left="142"/>
        <w:contextualSpacing/>
        <w:jc w:val="both"/>
        <w:rPr>
          <w:b/>
          <w:u w:val="single"/>
        </w:rPr>
      </w:pPr>
      <w:r w:rsidRPr="00CF25B7">
        <w:rPr>
          <w:b/>
          <w:u w:val="single"/>
        </w:rPr>
        <w:t>W pkt 18.1 SWZ</w:t>
      </w:r>
    </w:p>
    <w:p w:rsidR="00842B54" w:rsidRPr="00CF25B7" w:rsidRDefault="00842B54" w:rsidP="002A26A7">
      <w:pPr>
        <w:suppressAutoHyphens w:val="0"/>
        <w:spacing w:line="360" w:lineRule="auto"/>
        <w:ind w:left="142"/>
        <w:contextualSpacing/>
        <w:jc w:val="both"/>
        <w:rPr>
          <w:spacing w:val="-8"/>
        </w:rPr>
      </w:pPr>
      <w:r w:rsidRPr="00CF25B7">
        <w:rPr>
          <w:spacing w:val="-8"/>
        </w:rPr>
        <w:t xml:space="preserve">Zapis : „18.1. Termin związania ofertą : do dnia </w:t>
      </w:r>
      <w:r w:rsidR="00A2003A" w:rsidRPr="00CF25B7">
        <w:rPr>
          <w:spacing w:val="-8"/>
        </w:rPr>
        <w:t>14.02</w:t>
      </w:r>
      <w:r w:rsidRPr="00CF25B7">
        <w:rPr>
          <w:spacing w:val="-8"/>
        </w:rPr>
        <w:t>.202</w:t>
      </w:r>
      <w:r w:rsidR="00306D1A" w:rsidRPr="00CF25B7">
        <w:rPr>
          <w:spacing w:val="-8"/>
        </w:rPr>
        <w:t>3</w:t>
      </w:r>
      <w:r w:rsidRPr="00CF25B7">
        <w:rPr>
          <w:spacing w:val="-8"/>
        </w:rPr>
        <w:t xml:space="preserve"> r.”</w:t>
      </w:r>
    </w:p>
    <w:p w:rsidR="00842B54" w:rsidRPr="00CF25B7" w:rsidRDefault="00842B54" w:rsidP="002A26A7">
      <w:pPr>
        <w:suppressAutoHyphens w:val="0"/>
        <w:spacing w:line="360" w:lineRule="auto"/>
        <w:ind w:left="142"/>
        <w:contextualSpacing/>
        <w:jc w:val="both"/>
        <w:rPr>
          <w:i/>
        </w:rPr>
      </w:pPr>
      <w:r w:rsidRPr="00CF25B7">
        <w:rPr>
          <w:i/>
        </w:rPr>
        <w:t>otrzymuje brzmienie:</w:t>
      </w:r>
    </w:p>
    <w:p w:rsidR="00842B54" w:rsidRDefault="00842B54" w:rsidP="002A26A7">
      <w:pPr>
        <w:suppressAutoHyphens w:val="0"/>
        <w:spacing w:line="360" w:lineRule="auto"/>
        <w:ind w:left="142"/>
        <w:contextualSpacing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>„18.1. Termin związania ofertą : do dnia</w:t>
      </w:r>
      <w:r w:rsidR="00306D1A" w:rsidRPr="00CF25B7">
        <w:rPr>
          <w:color w:val="2E74B5" w:themeColor="accent1" w:themeShade="BF"/>
        </w:rPr>
        <w:t xml:space="preserve"> 20.02</w:t>
      </w:r>
      <w:r w:rsidRPr="00CF25B7">
        <w:rPr>
          <w:color w:val="2E74B5" w:themeColor="accent1" w:themeShade="BF"/>
        </w:rPr>
        <w:t>.202</w:t>
      </w:r>
      <w:r w:rsidR="00306D1A" w:rsidRPr="00CF25B7">
        <w:rPr>
          <w:color w:val="2E74B5" w:themeColor="accent1" w:themeShade="BF"/>
        </w:rPr>
        <w:t>3</w:t>
      </w:r>
      <w:r w:rsidRPr="00CF25B7">
        <w:rPr>
          <w:color w:val="2E74B5" w:themeColor="accent1" w:themeShade="BF"/>
        </w:rPr>
        <w:t xml:space="preserve"> r.”</w:t>
      </w:r>
    </w:p>
    <w:p w:rsidR="00933C10" w:rsidRPr="00CF25B7" w:rsidRDefault="00933C10" w:rsidP="002A26A7">
      <w:pPr>
        <w:suppressAutoHyphens w:val="0"/>
        <w:spacing w:line="360" w:lineRule="auto"/>
        <w:ind w:left="142"/>
        <w:contextualSpacing/>
        <w:jc w:val="both"/>
        <w:rPr>
          <w:color w:val="2E74B5" w:themeColor="accent1" w:themeShade="BF"/>
        </w:rPr>
      </w:pPr>
    </w:p>
    <w:p w:rsidR="009B5B6D" w:rsidRPr="009B5B6D" w:rsidRDefault="00842B54" w:rsidP="009B5B6D">
      <w:pPr>
        <w:pStyle w:val="Akapitzlist"/>
        <w:numPr>
          <w:ilvl w:val="0"/>
          <w:numId w:val="1"/>
        </w:numPr>
        <w:suppressAutoHyphens w:val="0"/>
        <w:spacing w:line="360" w:lineRule="auto"/>
        <w:ind w:left="0" w:hanging="426"/>
        <w:jc w:val="both"/>
      </w:pPr>
      <w:r w:rsidRPr="00CF25B7">
        <w:rPr>
          <w:spacing w:val="-8"/>
        </w:rPr>
        <w:t>W konsekwencji dokonanych zmian treści SWZ zmianie ulegają zapisy sekcji VIII pkt 8.1.), 8.3.) i 8.4.) ogłoszenia o zamówieniu nr 2022/BZP</w:t>
      </w:r>
      <w:r w:rsidR="00A2003A" w:rsidRPr="00CF25B7">
        <w:rPr>
          <w:spacing w:val="-8"/>
        </w:rPr>
        <w:t>00514011</w:t>
      </w:r>
      <w:r w:rsidRPr="00CF25B7">
        <w:rPr>
          <w:spacing w:val="-8"/>
        </w:rPr>
        <w:t>/0</w:t>
      </w:r>
      <w:r w:rsidR="00A2003A" w:rsidRPr="00CF25B7">
        <w:rPr>
          <w:spacing w:val="-8"/>
        </w:rPr>
        <w:t>1</w:t>
      </w:r>
      <w:r w:rsidRPr="00CF25B7">
        <w:rPr>
          <w:spacing w:val="-8"/>
        </w:rPr>
        <w:t xml:space="preserve"> z dnia </w:t>
      </w:r>
      <w:r w:rsidR="00A2003A" w:rsidRPr="00CF25B7">
        <w:rPr>
          <w:spacing w:val="-8"/>
        </w:rPr>
        <w:t>23.12.</w:t>
      </w:r>
      <w:r w:rsidRPr="00CF25B7">
        <w:rPr>
          <w:spacing w:val="-8"/>
        </w:rPr>
        <w:t xml:space="preserve">2022 r. </w:t>
      </w:r>
    </w:p>
    <w:p w:rsidR="009B5B6D" w:rsidRPr="009B5B6D" w:rsidRDefault="009B5B6D" w:rsidP="009B5B6D">
      <w:pPr>
        <w:pStyle w:val="Akapitzlist"/>
        <w:suppressAutoHyphens w:val="0"/>
        <w:spacing w:line="360" w:lineRule="auto"/>
        <w:ind w:left="0"/>
        <w:jc w:val="both"/>
      </w:pPr>
    </w:p>
    <w:p w:rsidR="009B5B6D" w:rsidRPr="003E58B6" w:rsidRDefault="009B5B6D" w:rsidP="009B5B6D">
      <w:pPr>
        <w:pStyle w:val="Akapitzlist"/>
        <w:numPr>
          <w:ilvl w:val="0"/>
          <w:numId w:val="1"/>
        </w:numPr>
        <w:suppressAutoHyphens w:val="0"/>
        <w:spacing w:line="360" w:lineRule="auto"/>
        <w:ind w:left="0" w:hanging="426"/>
        <w:jc w:val="both"/>
      </w:pPr>
      <w:r w:rsidRPr="003E58B6">
        <w:t xml:space="preserve">Jednocześnie, Zamawiający zamieszcza na stronie internetowej, w miejscu zamieszczenia </w:t>
      </w:r>
      <w:r w:rsidRPr="003E58B6">
        <w:br/>
        <w:t xml:space="preserve">ww. ogłoszenia o zamówieniu, dokumenty obejmujące: </w:t>
      </w:r>
    </w:p>
    <w:p w:rsidR="00275E78" w:rsidRPr="009B5B6D" w:rsidRDefault="009B5B6D" w:rsidP="009B5B6D">
      <w:pPr>
        <w:pStyle w:val="Akapitzlist"/>
        <w:numPr>
          <w:ilvl w:val="0"/>
          <w:numId w:val="3"/>
        </w:numPr>
        <w:suppressAutoHyphens w:val="0"/>
        <w:spacing w:line="360" w:lineRule="auto"/>
        <w:ind w:left="426" w:hanging="284"/>
        <w:jc w:val="both"/>
        <w:rPr>
          <w:b/>
          <w:highlight w:val="red"/>
        </w:rPr>
      </w:pPr>
      <w:bookmarkStart w:id="1" w:name="_Hlk71282981"/>
      <w:r w:rsidRPr="009B5B6D">
        <w:rPr>
          <w:b/>
          <w:highlight w:val="red"/>
        </w:rPr>
        <w:t>Ujednolicony wzór Umowy.</w:t>
      </w:r>
      <w:bookmarkEnd w:id="1"/>
    </w:p>
    <w:p w:rsidR="00842B54" w:rsidRPr="00CF25B7" w:rsidRDefault="00842B54" w:rsidP="002A26A7">
      <w:pPr>
        <w:pStyle w:val="Akapitzlist"/>
        <w:suppressAutoHyphens w:val="0"/>
        <w:spacing w:line="360" w:lineRule="auto"/>
        <w:ind w:left="0"/>
        <w:jc w:val="both"/>
        <w:rPr>
          <w:spacing w:val="-8"/>
        </w:rPr>
      </w:pPr>
    </w:p>
    <w:p w:rsidR="00C264F0" w:rsidRPr="00CF25B7" w:rsidRDefault="00C264F0" w:rsidP="002A26A7">
      <w:pPr>
        <w:pStyle w:val="Akapitzlist"/>
        <w:numPr>
          <w:ilvl w:val="0"/>
          <w:numId w:val="1"/>
        </w:numPr>
        <w:spacing w:line="360" w:lineRule="auto"/>
        <w:ind w:left="0" w:hanging="425"/>
        <w:jc w:val="both"/>
        <w:rPr>
          <w:spacing w:val="-10"/>
        </w:rPr>
      </w:pPr>
      <w:r w:rsidRPr="00CF25B7">
        <w:rPr>
          <w:spacing w:val="-10"/>
        </w:rPr>
        <w:t xml:space="preserve">Wyjaśnienia i zmiana treści SWZ, stają się obowiązujące dla wszystkich Wykonawców ubiegających się </w:t>
      </w:r>
      <w:r w:rsidRPr="00CF25B7">
        <w:rPr>
          <w:spacing w:val="-10"/>
        </w:rPr>
        <w:br/>
        <w:t>o udzielenie przedmiotowego zamówienia z dniem ich zamieszczenia na dedykowanej platformie zakupowej oraz stronie internetowej Zamawiającego w miejscu udostępnienia SWZ.</w:t>
      </w:r>
    </w:p>
    <w:p w:rsidR="008E04D1" w:rsidRPr="00CF25B7" w:rsidRDefault="008E04D1"/>
    <w:sectPr w:rsidR="008E04D1" w:rsidRPr="00CF25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30A29"/>
    <w:multiLevelType w:val="hybridMultilevel"/>
    <w:tmpl w:val="07A48D46"/>
    <w:lvl w:ilvl="0" w:tplc="32E61E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228"/>
    <w:rsid w:val="000A0367"/>
    <w:rsid w:val="00185C0D"/>
    <w:rsid w:val="001C4145"/>
    <w:rsid w:val="001C4960"/>
    <w:rsid w:val="00256C3F"/>
    <w:rsid w:val="00274DCB"/>
    <w:rsid w:val="00275E78"/>
    <w:rsid w:val="0029422F"/>
    <w:rsid w:val="002A26A7"/>
    <w:rsid w:val="00306D1A"/>
    <w:rsid w:val="003A0276"/>
    <w:rsid w:val="00554BAD"/>
    <w:rsid w:val="00585E01"/>
    <w:rsid w:val="005E0574"/>
    <w:rsid w:val="00600B4E"/>
    <w:rsid w:val="006457A5"/>
    <w:rsid w:val="00745AA2"/>
    <w:rsid w:val="00774DAC"/>
    <w:rsid w:val="00842B54"/>
    <w:rsid w:val="008E01B6"/>
    <w:rsid w:val="008E04D1"/>
    <w:rsid w:val="00933C10"/>
    <w:rsid w:val="00940860"/>
    <w:rsid w:val="0096799E"/>
    <w:rsid w:val="009B5B6D"/>
    <w:rsid w:val="00A2003A"/>
    <w:rsid w:val="00A2512A"/>
    <w:rsid w:val="00AB09B7"/>
    <w:rsid w:val="00B476EC"/>
    <w:rsid w:val="00BF1A55"/>
    <w:rsid w:val="00C264F0"/>
    <w:rsid w:val="00C42730"/>
    <w:rsid w:val="00CD48B6"/>
    <w:rsid w:val="00CD7AE5"/>
    <w:rsid w:val="00CF25B7"/>
    <w:rsid w:val="00D440A3"/>
    <w:rsid w:val="00DB60A0"/>
    <w:rsid w:val="00DF699A"/>
    <w:rsid w:val="00E2118C"/>
    <w:rsid w:val="00E4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BB14"/>
  <w15:chartTrackingRefBased/>
  <w15:docId w15:val="{86F727E3-8294-4706-9F52-DDE37133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2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E42228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E422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E4222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owiadomoci">
    <w:name w:val="do wiadomości"/>
    <w:basedOn w:val="Tekstpodstawowy"/>
    <w:link w:val="dowiadomociZnak"/>
    <w:rsid w:val="00C264F0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C264F0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64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64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s95e872d0">
    <w:name w:val="cs95e872d0"/>
    <w:basedOn w:val="Normalny"/>
    <w:rsid w:val="00B476EC"/>
    <w:pPr>
      <w:suppressAutoHyphens w:val="0"/>
    </w:pPr>
    <w:rPr>
      <w:lang w:eastAsia="pl-PL"/>
    </w:rPr>
  </w:style>
  <w:style w:type="character" w:customStyle="1" w:styleId="cs9d249ccb1">
    <w:name w:val="cs9d249ccb1"/>
    <w:basedOn w:val="Domylnaczcionkaakapitu"/>
    <w:rsid w:val="00B476E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6</Pages>
  <Words>1628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CJ. Jesa</dc:creator>
  <cp:keywords/>
  <dc:description/>
  <cp:lastModifiedBy>Claudia CJ. Jesa</cp:lastModifiedBy>
  <cp:revision>29</cp:revision>
  <dcterms:created xsi:type="dcterms:W3CDTF">2023-01-09T09:25:00Z</dcterms:created>
  <dcterms:modified xsi:type="dcterms:W3CDTF">2023-01-12T09:00:00Z</dcterms:modified>
</cp:coreProperties>
</file>