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6BB" w:rsidRDefault="00BB478D" w:rsidP="00BB478D">
      <w:pPr>
        <w:ind w:left="0" w:firstLine="0"/>
        <w:jc w:val="right"/>
      </w:pPr>
      <w:r>
        <w:t>Białe Błota, 1</w:t>
      </w:r>
      <w:r w:rsidR="00197FD7">
        <w:t>6</w:t>
      </w:r>
      <w:r>
        <w:t>.08.2023</w:t>
      </w:r>
    </w:p>
    <w:p w:rsidR="00BB478D" w:rsidRPr="0032255A" w:rsidRDefault="00BB478D" w:rsidP="00BB478D">
      <w:pPr>
        <w:ind w:left="0" w:firstLine="0"/>
        <w:rPr>
          <w:b/>
        </w:rPr>
      </w:pPr>
      <w:r w:rsidRPr="0032255A">
        <w:rPr>
          <w:b/>
        </w:rPr>
        <w:t>Protokół</w:t>
      </w:r>
      <w:r w:rsidR="0032255A" w:rsidRPr="0032255A">
        <w:rPr>
          <w:b/>
        </w:rPr>
        <w:t xml:space="preserve"> nr </w:t>
      </w:r>
      <w:r w:rsidR="00197FD7">
        <w:rPr>
          <w:b/>
        </w:rPr>
        <w:t>2</w:t>
      </w:r>
    </w:p>
    <w:p w:rsidR="00BB478D" w:rsidRDefault="00BB478D" w:rsidP="008F2597">
      <w:pPr>
        <w:ind w:left="0" w:firstLine="0"/>
        <w:jc w:val="both"/>
      </w:pPr>
      <w:r>
        <w:t xml:space="preserve">z posiedzenia Komisji Konkursowej powołanej zarządzeniem 72/2023 z dnia 10.08.2023 r. </w:t>
      </w:r>
      <w:r w:rsidR="008F2597">
        <w:br/>
      </w:r>
      <w:r>
        <w:t xml:space="preserve">do rozpatrzenia ofert złożonych w otwartym konkursie ofert na realizację zadania publicznego Gminy Białe Błota w 2023 roku w zakresie upowszechniania kultury i ochrony dziedzictwa kulturowego </w:t>
      </w:r>
      <w:r w:rsidR="008F2597">
        <w:br/>
      </w:r>
      <w:r>
        <w:t>pn.: „Święto Gminy Białe Błota” – ogłoszenie nr 2/2023</w:t>
      </w:r>
      <w:bookmarkStart w:id="0" w:name="_GoBack"/>
      <w:bookmarkEnd w:id="0"/>
    </w:p>
    <w:p w:rsidR="0032255A" w:rsidRDefault="00BB478D" w:rsidP="008F2597">
      <w:pPr>
        <w:ind w:left="0" w:firstLine="0"/>
        <w:jc w:val="both"/>
      </w:pPr>
      <w:r>
        <w:t>Posiedzenie komisji odbyło się w dniu 1</w:t>
      </w:r>
      <w:r w:rsidR="00197FD7">
        <w:t>6</w:t>
      </w:r>
      <w:r>
        <w:t xml:space="preserve">.08.2023 r. w Urzędzie Gminy Białe Błota ul. Szubińska 7. </w:t>
      </w:r>
      <w:r w:rsidR="008F2597">
        <w:br/>
      </w:r>
      <w:r>
        <w:t>W obradach uczestniczyli, Radosław Matuszak</w:t>
      </w:r>
      <w:r w:rsidR="0032255A">
        <w:t>, Łukasz Czyżewski</w:t>
      </w:r>
      <w:r w:rsidR="00C950EF">
        <w:t>, Jacek Kot, Wojciech Jarosiński.</w:t>
      </w:r>
    </w:p>
    <w:p w:rsidR="0032255A" w:rsidRDefault="00C950EF" w:rsidP="008F2597">
      <w:pPr>
        <w:ind w:left="0" w:firstLine="0"/>
        <w:jc w:val="both"/>
      </w:pPr>
      <w:r>
        <w:t>Nieobecni na pierwszym posiedzeniu c</w:t>
      </w:r>
      <w:r w:rsidR="0032255A">
        <w:t>złonkowie komisji złożyli stosowne oświadczenia.</w:t>
      </w:r>
    </w:p>
    <w:p w:rsidR="00C950EF" w:rsidRDefault="00C950EF" w:rsidP="008F2597">
      <w:pPr>
        <w:ind w:left="0" w:firstLine="0"/>
        <w:jc w:val="both"/>
      </w:pPr>
      <w:r>
        <w:t xml:space="preserve">Komisja dokonała oceny merytorycznej złożonej oferty przez </w:t>
      </w:r>
      <w:r w:rsidRPr="00C950EF">
        <w:t>Stowarzyszenie inicjatyw Lokalnych "Dobry Start"</w:t>
      </w:r>
      <w:r w:rsidR="00C618C1">
        <w:t xml:space="preserve"> – jedynej oferty, która otrzymała pozytywną ocenę podczas oceny formalnej.</w:t>
      </w:r>
    </w:p>
    <w:p w:rsidR="00007E51" w:rsidRDefault="00007E51" w:rsidP="008F2597">
      <w:pPr>
        <w:ind w:left="0" w:firstLine="0"/>
        <w:jc w:val="both"/>
      </w:pPr>
      <w:r>
        <w:t xml:space="preserve">Komisja zaproponowała przyznanie środków w następujących </w:t>
      </w:r>
      <w:r w:rsidR="00C618C1">
        <w:t>proporcjach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C618C1" w:rsidTr="008F2597">
        <w:tc>
          <w:tcPr>
            <w:tcW w:w="3020" w:type="dxa"/>
            <w:shd w:val="clear" w:color="auto" w:fill="BFBFBF" w:themeFill="background1" w:themeFillShade="BF"/>
          </w:tcPr>
          <w:p w:rsidR="00C618C1" w:rsidRDefault="00C618C1" w:rsidP="0032255A">
            <w:pPr>
              <w:ind w:left="0" w:firstLine="0"/>
              <w:jc w:val="left"/>
            </w:pPr>
            <w:r>
              <w:t>Podział punktów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C618C1" w:rsidRDefault="00C618C1" w:rsidP="0032255A">
            <w:pPr>
              <w:ind w:left="0" w:firstLine="0"/>
              <w:jc w:val="left"/>
            </w:pPr>
            <w:r>
              <w:t>% wnioskowanej kwoty</w:t>
            </w:r>
          </w:p>
        </w:tc>
      </w:tr>
      <w:tr w:rsidR="00C618C1" w:rsidTr="008F2597">
        <w:trPr>
          <w:trHeight w:val="58"/>
        </w:trPr>
        <w:tc>
          <w:tcPr>
            <w:tcW w:w="3020" w:type="dxa"/>
          </w:tcPr>
          <w:p w:rsidR="00C618C1" w:rsidRDefault="00C618C1" w:rsidP="00C618C1">
            <w:pPr>
              <w:ind w:left="0" w:firstLine="0"/>
              <w:jc w:val="left"/>
            </w:pPr>
            <w:r>
              <w:t>0-29 pkt</w:t>
            </w:r>
          </w:p>
        </w:tc>
        <w:tc>
          <w:tcPr>
            <w:tcW w:w="3021" w:type="dxa"/>
          </w:tcPr>
          <w:p w:rsidR="00C618C1" w:rsidRDefault="00C618C1" w:rsidP="00C618C1">
            <w:pPr>
              <w:ind w:left="0" w:firstLine="0"/>
              <w:jc w:val="left"/>
            </w:pPr>
            <w:r>
              <w:t>0%</w:t>
            </w:r>
          </w:p>
        </w:tc>
      </w:tr>
      <w:tr w:rsidR="00C618C1" w:rsidTr="00007E51">
        <w:tc>
          <w:tcPr>
            <w:tcW w:w="3020" w:type="dxa"/>
          </w:tcPr>
          <w:p w:rsidR="00C618C1" w:rsidRDefault="00C618C1" w:rsidP="00C618C1">
            <w:pPr>
              <w:ind w:left="0" w:firstLine="0"/>
              <w:jc w:val="left"/>
            </w:pPr>
            <w:r>
              <w:t>30-34 pkt</w:t>
            </w:r>
          </w:p>
        </w:tc>
        <w:tc>
          <w:tcPr>
            <w:tcW w:w="3021" w:type="dxa"/>
          </w:tcPr>
          <w:p w:rsidR="00C618C1" w:rsidRDefault="00C618C1" w:rsidP="00C618C1">
            <w:pPr>
              <w:ind w:left="0" w:firstLine="0"/>
              <w:jc w:val="left"/>
            </w:pPr>
            <w:r>
              <w:t>70%</w:t>
            </w:r>
          </w:p>
        </w:tc>
      </w:tr>
      <w:tr w:rsidR="00C618C1" w:rsidTr="00007E51">
        <w:tc>
          <w:tcPr>
            <w:tcW w:w="3020" w:type="dxa"/>
          </w:tcPr>
          <w:p w:rsidR="00C618C1" w:rsidRDefault="00C618C1" w:rsidP="00C618C1">
            <w:pPr>
              <w:ind w:left="0" w:firstLine="0"/>
              <w:jc w:val="left"/>
            </w:pPr>
            <w:r>
              <w:t>35-39 pkt</w:t>
            </w:r>
          </w:p>
        </w:tc>
        <w:tc>
          <w:tcPr>
            <w:tcW w:w="3021" w:type="dxa"/>
          </w:tcPr>
          <w:p w:rsidR="00C618C1" w:rsidRDefault="00C618C1" w:rsidP="00C618C1">
            <w:pPr>
              <w:ind w:left="0" w:firstLine="0"/>
              <w:jc w:val="left"/>
            </w:pPr>
            <w:r>
              <w:t>80%</w:t>
            </w:r>
          </w:p>
        </w:tc>
      </w:tr>
      <w:tr w:rsidR="00C618C1" w:rsidTr="00007E51">
        <w:tc>
          <w:tcPr>
            <w:tcW w:w="3020" w:type="dxa"/>
          </w:tcPr>
          <w:p w:rsidR="00C618C1" w:rsidRDefault="00C618C1" w:rsidP="00C618C1">
            <w:pPr>
              <w:ind w:left="0" w:firstLine="0"/>
              <w:jc w:val="left"/>
            </w:pPr>
            <w:r>
              <w:t>40-50 pkt</w:t>
            </w:r>
          </w:p>
        </w:tc>
        <w:tc>
          <w:tcPr>
            <w:tcW w:w="3021" w:type="dxa"/>
          </w:tcPr>
          <w:p w:rsidR="00C618C1" w:rsidRDefault="00C618C1" w:rsidP="00C618C1">
            <w:pPr>
              <w:ind w:left="0" w:firstLine="0"/>
              <w:jc w:val="left"/>
            </w:pPr>
            <w:r>
              <w:t>100%</w:t>
            </w:r>
          </w:p>
        </w:tc>
      </w:tr>
    </w:tbl>
    <w:p w:rsidR="00C950EF" w:rsidRDefault="00007E51" w:rsidP="0032255A">
      <w:pPr>
        <w:ind w:left="0" w:firstLine="0"/>
        <w:jc w:val="left"/>
      </w:pPr>
      <w:r>
        <w:t>Średni wynik ocenionej oferty wyniósł:</w:t>
      </w:r>
    </w:p>
    <w:p w:rsidR="00007E51" w:rsidRPr="00007E51" w:rsidRDefault="00C618C1" w:rsidP="0032255A">
      <w:pPr>
        <w:ind w:left="0" w:firstLine="0"/>
        <w:jc w:val="left"/>
        <w:rPr>
          <w:b/>
        </w:rPr>
      </w:pPr>
      <w:r>
        <w:rPr>
          <w:b/>
        </w:rPr>
        <w:t>40</w:t>
      </w:r>
      <w:r w:rsidR="00007E51" w:rsidRPr="00007E51">
        <w:rPr>
          <w:b/>
        </w:rPr>
        <w:t xml:space="preserve"> pkt na 50 pkt możliwych do uzyskania</w:t>
      </w:r>
    </w:p>
    <w:p w:rsidR="008F2597" w:rsidRDefault="00C618C1" w:rsidP="008F2597">
      <w:pPr>
        <w:ind w:left="0" w:firstLine="0"/>
        <w:jc w:val="left"/>
      </w:pPr>
      <w:r>
        <w:t>W związku z powyższym</w:t>
      </w:r>
      <w:r w:rsidR="008F2597">
        <w:t xml:space="preserve"> komisja rekomenduje przyznanie </w:t>
      </w:r>
      <w:r w:rsidR="008F2597" w:rsidRPr="00C950EF">
        <w:t>Stowarzyszeni</w:t>
      </w:r>
      <w:r w:rsidR="008F2597">
        <w:t>u</w:t>
      </w:r>
      <w:r w:rsidR="008F2597" w:rsidRPr="00C950EF">
        <w:t xml:space="preserve"> inicjatyw Lokalnych "Dobry Start"</w:t>
      </w:r>
      <w:r w:rsidR="008F2597">
        <w:t xml:space="preserve"> </w:t>
      </w:r>
      <w:r w:rsidR="008F2597" w:rsidRPr="008F2597">
        <w:rPr>
          <w:b/>
        </w:rPr>
        <w:t>przyznanie dotacji w kwocie 39 971, 00</w:t>
      </w:r>
      <w:r w:rsidR="008F2597">
        <w:t xml:space="preserve"> zł </w:t>
      </w:r>
      <w:r w:rsidR="008F2597">
        <w:t>na realizację zadania publicznego Gminy Białe Błota w 2023 roku w zakresie upowszechniania kultury i ochrony dziedzictwa kulturowego pn.: „Święto Gminy Białe Błota” – ogłoszenie nr 2/2023</w:t>
      </w:r>
    </w:p>
    <w:p w:rsidR="008F2597" w:rsidRDefault="008F2597" w:rsidP="008F2597">
      <w:pPr>
        <w:ind w:left="0" w:firstLine="0"/>
        <w:jc w:val="left"/>
      </w:pPr>
    </w:p>
    <w:p w:rsidR="0032255A" w:rsidRDefault="0032255A">
      <w:pPr>
        <w:ind w:left="0" w:firstLine="0"/>
        <w:jc w:val="left"/>
      </w:pPr>
    </w:p>
    <w:p w:rsidR="0032255A" w:rsidRDefault="0032255A" w:rsidP="0032255A">
      <w:pPr>
        <w:spacing w:line="600" w:lineRule="auto"/>
        <w:ind w:left="0" w:firstLine="0"/>
        <w:jc w:val="left"/>
      </w:pPr>
      <w:r>
        <w:t>Podpisy członków komisji:</w:t>
      </w:r>
    </w:p>
    <w:p w:rsidR="0032255A" w:rsidRDefault="008F2597" w:rsidP="0032255A">
      <w:pPr>
        <w:spacing w:line="600" w:lineRule="auto"/>
        <w:ind w:left="0" w:firstLine="0"/>
        <w:jc w:val="left"/>
      </w:pPr>
      <w:r>
        <w:t>Radosław Matuszak przewodniczący komisji</w:t>
      </w:r>
      <w:r>
        <w:tab/>
      </w:r>
      <w:r w:rsidR="0032255A">
        <w:t>…………………………………………………………</w:t>
      </w:r>
    </w:p>
    <w:p w:rsidR="0032255A" w:rsidRDefault="008F2597" w:rsidP="0032255A">
      <w:pPr>
        <w:spacing w:line="600" w:lineRule="auto"/>
        <w:ind w:left="0" w:firstLine="0"/>
        <w:jc w:val="left"/>
      </w:pPr>
      <w:r>
        <w:t>Łukasz Czyżewski sekretarz</w:t>
      </w:r>
      <w:r>
        <w:tab/>
      </w:r>
      <w:r>
        <w:tab/>
      </w:r>
      <w:r>
        <w:tab/>
      </w:r>
      <w:r w:rsidR="0032255A">
        <w:t>…………………………………………………………</w:t>
      </w:r>
    </w:p>
    <w:p w:rsidR="0032255A" w:rsidRDefault="008F2597" w:rsidP="0032255A">
      <w:pPr>
        <w:spacing w:line="600" w:lineRule="auto"/>
        <w:ind w:left="0" w:firstLine="0"/>
        <w:jc w:val="left"/>
      </w:pPr>
      <w:r>
        <w:t>Wojciech Jarosiński członek komisji</w:t>
      </w:r>
      <w:r>
        <w:tab/>
      </w:r>
      <w:r>
        <w:tab/>
      </w:r>
      <w:r w:rsidR="0032255A">
        <w:t>…………………………………………………………</w:t>
      </w:r>
    </w:p>
    <w:p w:rsidR="008F2597" w:rsidRDefault="008F2597" w:rsidP="0032255A">
      <w:pPr>
        <w:spacing w:line="600" w:lineRule="auto"/>
        <w:ind w:left="0" w:firstLine="0"/>
        <w:jc w:val="left"/>
      </w:pPr>
      <w:r>
        <w:t xml:space="preserve">Jacek Kot członek komisji </w:t>
      </w:r>
      <w:r>
        <w:tab/>
      </w:r>
      <w:r>
        <w:tab/>
      </w:r>
      <w:r>
        <w:tab/>
        <w:t>………………………………………………………..</w:t>
      </w:r>
    </w:p>
    <w:sectPr w:rsidR="008F2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8D"/>
    <w:rsid w:val="00007E51"/>
    <w:rsid w:val="00074768"/>
    <w:rsid w:val="00197FD7"/>
    <w:rsid w:val="0032255A"/>
    <w:rsid w:val="008F2597"/>
    <w:rsid w:val="00BB478D"/>
    <w:rsid w:val="00C618C1"/>
    <w:rsid w:val="00C950EF"/>
    <w:rsid w:val="00CB56BB"/>
    <w:rsid w:val="00DC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A59E"/>
  <w15:chartTrackingRefBased/>
  <w15:docId w15:val="{BB8FAB57-A9F6-4997-AFBB-E5657AB6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40" w:line="228" w:lineRule="auto"/>
        <w:ind w:left="408" w:right="57" w:hanging="35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7E5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UGBB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LC. Czyżewski</dc:creator>
  <cp:keywords/>
  <dc:description/>
  <cp:lastModifiedBy>Łukasz LC. Czyżewski</cp:lastModifiedBy>
  <cp:revision>2</cp:revision>
  <cp:lastPrinted>2023-08-16T09:37:00Z</cp:lastPrinted>
  <dcterms:created xsi:type="dcterms:W3CDTF">2023-08-16T09:38:00Z</dcterms:created>
  <dcterms:modified xsi:type="dcterms:W3CDTF">2023-08-16T09:38:00Z</dcterms:modified>
</cp:coreProperties>
</file>